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16C380CC"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1155E3">
        <w:rPr>
          <w:rFonts w:eastAsia="宋体" w:cs="Arial"/>
          <w:bCs/>
          <w:sz w:val="22"/>
          <w:lang w:eastAsia="zh-CN"/>
        </w:rPr>
        <w:t>1</w:t>
      </w:r>
      <w:r>
        <w:rPr>
          <w:rFonts w:cs="Arial"/>
          <w:bCs/>
          <w:sz w:val="22"/>
        </w:rPr>
        <w:tab/>
      </w:r>
      <w:r>
        <w:rPr>
          <w:rFonts w:cs="Arial"/>
          <w:bCs/>
          <w:sz w:val="22"/>
        </w:rPr>
        <w:tab/>
        <w:t>R1-20</w:t>
      </w:r>
      <w:r w:rsidR="00F944AA" w:rsidRPr="00F944AA">
        <w:rPr>
          <w:rFonts w:cs="Arial"/>
          <w:bCs/>
          <w:sz w:val="22"/>
        </w:rPr>
        <w:t>0</w:t>
      </w:r>
      <w:r w:rsidR="00364F6E">
        <w:rPr>
          <w:rFonts w:cs="Arial"/>
          <w:bCs/>
          <w:sz w:val="22"/>
        </w:rPr>
        <w:t>3416</w:t>
      </w:r>
    </w:p>
    <w:p w14:paraId="31A46F15" w14:textId="3DB978D7" w:rsidR="00856DD1" w:rsidRPr="00AA7383" w:rsidRDefault="001155E3" w:rsidP="00856DD1">
      <w:pPr>
        <w:pStyle w:val="ab"/>
        <w:jc w:val="both"/>
        <w:rPr>
          <w:rFonts w:cs="Arial"/>
          <w:bCs/>
          <w:sz w:val="22"/>
        </w:rPr>
      </w:pPr>
      <w:r w:rsidRPr="00856DD1">
        <w:rPr>
          <w:rFonts w:cs="Arial"/>
          <w:bCs/>
          <w:sz w:val="22"/>
        </w:rPr>
        <w:t xml:space="preserve">e-Meeting, </w:t>
      </w:r>
      <w:r w:rsidRPr="00A8360C">
        <w:rPr>
          <w:rFonts w:cs="Arial"/>
          <w:bCs/>
          <w:sz w:val="22"/>
        </w:rPr>
        <w:t>May 25th – June 5th, 2020</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603F4FD"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Discussion on Rel-16 NRU UE features</w:t>
      </w:r>
    </w:p>
    <w:p w14:paraId="2B7F8150" w14:textId="100BBE1C"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A3D5D">
        <w:rPr>
          <w:rFonts w:eastAsia="宋体" w:cs="Arial"/>
          <w:sz w:val="22"/>
          <w:szCs w:val="22"/>
          <w:lang w:eastAsia="zh-CN"/>
        </w:rPr>
        <w:t>2</w:t>
      </w:r>
      <w:r w:rsidR="00CB0257">
        <w:rPr>
          <w:rFonts w:eastAsia="宋体" w:cs="Arial"/>
          <w:sz w:val="22"/>
          <w:szCs w:val="22"/>
          <w:lang w:eastAsia="zh-CN"/>
        </w:rPr>
        <w:t>.</w:t>
      </w:r>
      <w:r w:rsidR="001A3D5D">
        <w:rPr>
          <w:rFonts w:eastAsia="宋体" w:cs="Arial"/>
          <w:sz w:val="22"/>
          <w:szCs w:val="22"/>
          <w:lang w:eastAsia="zh-CN"/>
        </w:rPr>
        <w:t>11.2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21B05985" w:rsidR="00856DD1" w:rsidRPr="00A13F19" w:rsidRDefault="00A94C15" w:rsidP="00A80EBB">
      <w:pPr>
        <w:spacing w:before="120" w:after="120"/>
        <w:jc w:val="both"/>
        <w:rPr>
          <w:rFonts w:ascii="Times New Roman" w:hAnsi="Times New Roman"/>
        </w:rPr>
      </w:pPr>
      <w:r>
        <w:rPr>
          <w:rFonts w:ascii="Times New Roman" w:hAnsi="Times New Roman"/>
        </w:rPr>
        <w:t xml:space="preserve">In </w:t>
      </w:r>
      <w:r w:rsidR="00FC3CE4">
        <w:rPr>
          <w:rFonts w:ascii="Times New Roman" w:hAnsi="Times New Roman"/>
        </w:rPr>
        <w:t>RAN1 #100</w:t>
      </w:r>
      <w:r w:rsidR="003716DC">
        <w:rPr>
          <w:rFonts w:ascii="Times New Roman" w:hAnsi="Times New Roman"/>
        </w:rPr>
        <w:t>b-</w:t>
      </w:r>
      <w:r w:rsidR="00FC3CE4">
        <w:rPr>
          <w:rFonts w:ascii="Times New Roman" w:hAnsi="Times New Roman"/>
        </w:rPr>
        <w:t>e meeting, Rel-16 NR</w:t>
      </w:r>
      <w:r w:rsidR="003716DC">
        <w:rPr>
          <w:rFonts w:ascii="Times New Roman" w:hAnsi="Times New Roman"/>
        </w:rPr>
        <w:t>U</w:t>
      </w:r>
      <w:r w:rsidR="00FC3CE4">
        <w:rPr>
          <w:rFonts w:ascii="Times New Roman" w:hAnsi="Times New Roman"/>
        </w:rPr>
        <w:t xml:space="preserve"> UE features </w:t>
      </w:r>
      <w:r w:rsidR="003716DC">
        <w:rPr>
          <w:rFonts w:ascii="Times New Roman" w:hAnsi="Times New Roman"/>
        </w:rPr>
        <w:t xml:space="preserve">are discussed </w:t>
      </w:r>
      <w:r w:rsidR="00FC3CE4">
        <w:rPr>
          <w:rFonts w:ascii="Times New Roman" w:hAnsi="Times New Roman"/>
        </w:rPr>
        <w:t xml:space="preserve">and the outcome is summarized in </w:t>
      </w:r>
      <w:r w:rsidR="00FC3CE4">
        <w:rPr>
          <w:rFonts w:ascii="Times New Roman" w:hAnsi="Times New Roman"/>
        </w:rPr>
        <w:fldChar w:fldCharType="begin"/>
      </w:r>
      <w:r w:rsidR="00FC3CE4">
        <w:rPr>
          <w:rFonts w:ascii="Times New Roman" w:hAnsi="Times New Roman"/>
        </w:rPr>
        <w:instrText xml:space="preserve"> REF _Ref37321079 \r \h </w:instrText>
      </w:r>
      <w:r w:rsidR="00FC3CE4">
        <w:rPr>
          <w:rFonts w:ascii="Times New Roman" w:hAnsi="Times New Roman"/>
        </w:rPr>
      </w:r>
      <w:r w:rsidR="00FC3CE4">
        <w:rPr>
          <w:rFonts w:ascii="Times New Roman" w:hAnsi="Times New Roman"/>
        </w:rPr>
        <w:fldChar w:fldCharType="separate"/>
      </w:r>
      <w:r w:rsidR="00273DEB">
        <w:rPr>
          <w:rFonts w:ascii="Times New Roman" w:hAnsi="Times New Roman"/>
        </w:rPr>
        <w:t>[1]</w:t>
      </w:r>
      <w:r w:rsidR="00FC3CE4">
        <w:rPr>
          <w:rFonts w:ascii="Times New Roman" w:hAnsi="Times New Roman"/>
        </w:rPr>
        <w:fldChar w:fldCharType="end"/>
      </w:r>
      <w:r w:rsidR="00FC3CE4">
        <w:rPr>
          <w:rFonts w:ascii="Times New Roman" w:hAnsi="Times New Roman"/>
        </w:rPr>
        <w:t xml:space="preserve">. In this contribution, </w:t>
      </w:r>
      <w:r w:rsidR="00592FE1">
        <w:rPr>
          <w:rFonts w:ascii="Times New Roman" w:hAnsi="Times New Roman"/>
        </w:rPr>
        <w:t xml:space="preserve">our views on NRU part is provided based on </w:t>
      </w:r>
      <w:r w:rsidR="00592FE1">
        <w:rPr>
          <w:rFonts w:ascii="Times New Roman" w:hAnsi="Times New Roman"/>
        </w:rPr>
        <w:fldChar w:fldCharType="begin"/>
      </w:r>
      <w:r w:rsidR="00592FE1">
        <w:rPr>
          <w:rFonts w:ascii="Times New Roman" w:hAnsi="Times New Roman"/>
        </w:rPr>
        <w:instrText xml:space="preserve"> REF _Ref37321079 \r \h </w:instrText>
      </w:r>
      <w:r w:rsidR="00592FE1">
        <w:rPr>
          <w:rFonts w:ascii="Times New Roman" w:hAnsi="Times New Roman"/>
        </w:rPr>
      </w:r>
      <w:r w:rsidR="00592FE1">
        <w:rPr>
          <w:rFonts w:ascii="Times New Roman" w:hAnsi="Times New Roman"/>
        </w:rPr>
        <w:fldChar w:fldCharType="separate"/>
      </w:r>
      <w:r w:rsidR="00273DEB">
        <w:rPr>
          <w:rFonts w:ascii="Times New Roman" w:hAnsi="Times New Roman"/>
        </w:rPr>
        <w:t>[1]</w:t>
      </w:r>
      <w:r w:rsidR="00592FE1">
        <w:rPr>
          <w:rFonts w:ascii="Times New Roman" w:hAnsi="Times New Roman"/>
        </w:rPr>
        <w:fldChar w:fldCharType="end"/>
      </w:r>
      <w:r w:rsidR="00592FE1">
        <w:rPr>
          <w:rFonts w:ascii="Times New Roman" w:hAnsi="Times New Roman"/>
        </w:rPr>
        <w:t>.</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DD8442E" w14:textId="5A10EA10" w:rsidR="002E0C90" w:rsidRPr="002E0C90" w:rsidRDefault="005C67DB" w:rsidP="00592FE1">
      <w:pPr>
        <w:spacing w:before="120" w:after="120"/>
        <w:jc w:val="both"/>
        <w:rPr>
          <w:rFonts w:ascii="Times New Roman" w:hAnsi="Times New Roman"/>
          <w:szCs w:val="20"/>
        </w:rPr>
      </w:pPr>
      <w:bookmarkStart w:id="1" w:name="_Ref521492551"/>
      <w:bookmarkStart w:id="2" w:name="PP12"/>
      <w:bookmarkStart w:id="3" w:name="_Hlk32419238"/>
      <w:r w:rsidRPr="002E0C90">
        <w:rPr>
          <w:rFonts w:ascii="Times New Roman" w:hAnsi="Times New Roman"/>
          <w:szCs w:val="20"/>
        </w:rPr>
        <w:t xml:space="preserve">First, the baseline for each </w:t>
      </w:r>
      <w:r w:rsidR="0044516C" w:rsidRPr="002E0C90">
        <w:rPr>
          <w:rFonts w:ascii="Times New Roman" w:hAnsi="Times New Roman"/>
          <w:szCs w:val="20"/>
        </w:rPr>
        <w:t xml:space="preserve">NRU UE </w:t>
      </w:r>
      <w:r w:rsidRPr="002E0C90">
        <w:rPr>
          <w:rFonts w:ascii="Times New Roman" w:hAnsi="Times New Roman"/>
          <w:szCs w:val="20"/>
        </w:rPr>
        <w:t xml:space="preserve">feature should be applicable to unlicensed band only unless </w:t>
      </w:r>
      <w:r w:rsidR="00C71321" w:rsidRPr="002E0C90">
        <w:rPr>
          <w:rFonts w:ascii="Times New Roman" w:hAnsi="Times New Roman"/>
          <w:szCs w:val="20"/>
        </w:rPr>
        <w:t>it is agreed to extend to licensed band if beneficial for licensed operation. In current NRU UE feature table</w:t>
      </w:r>
      <w:r w:rsidR="0044516C" w:rsidRPr="002E0C90">
        <w:rPr>
          <w:rFonts w:ascii="Times New Roman" w:hAnsi="Times New Roman"/>
          <w:szCs w:val="20"/>
        </w:rPr>
        <w:t xml:space="preserve"> </w:t>
      </w:r>
      <w:r w:rsidR="0044516C" w:rsidRPr="002E0C90">
        <w:rPr>
          <w:rFonts w:ascii="Times New Roman" w:hAnsi="Times New Roman"/>
          <w:szCs w:val="20"/>
        </w:rPr>
        <w:fldChar w:fldCharType="begin"/>
      </w:r>
      <w:r w:rsidR="0044516C" w:rsidRPr="002E0C90">
        <w:rPr>
          <w:rFonts w:ascii="Times New Roman" w:hAnsi="Times New Roman"/>
          <w:szCs w:val="20"/>
        </w:rPr>
        <w:instrText xml:space="preserve"> REF _Ref37321079 \r \h </w:instrText>
      </w:r>
      <w:r w:rsidR="002E0C90">
        <w:rPr>
          <w:rFonts w:ascii="Times New Roman" w:hAnsi="Times New Roman"/>
          <w:szCs w:val="20"/>
        </w:rPr>
        <w:instrText xml:space="preserve"> \* MERGEFORMAT </w:instrText>
      </w:r>
      <w:r w:rsidR="0044516C" w:rsidRPr="002E0C90">
        <w:rPr>
          <w:rFonts w:ascii="Times New Roman" w:hAnsi="Times New Roman"/>
          <w:szCs w:val="20"/>
        </w:rPr>
      </w:r>
      <w:r w:rsidR="0044516C" w:rsidRPr="002E0C90">
        <w:rPr>
          <w:rFonts w:ascii="Times New Roman" w:hAnsi="Times New Roman"/>
          <w:szCs w:val="20"/>
        </w:rPr>
        <w:fldChar w:fldCharType="separate"/>
      </w:r>
      <w:r w:rsidR="00273DEB">
        <w:rPr>
          <w:rFonts w:ascii="Times New Roman" w:hAnsi="Times New Roman"/>
          <w:szCs w:val="20"/>
        </w:rPr>
        <w:t>[1]</w:t>
      </w:r>
      <w:r w:rsidR="0044516C" w:rsidRPr="002E0C90">
        <w:rPr>
          <w:rFonts w:ascii="Times New Roman" w:hAnsi="Times New Roman"/>
          <w:szCs w:val="20"/>
        </w:rPr>
        <w:fldChar w:fldCharType="end"/>
      </w:r>
      <w:r w:rsidR="00C71321" w:rsidRPr="002E0C90">
        <w:rPr>
          <w:rFonts w:ascii="Times New Roman" w:hAnsi="Times New Roman"/>
          <w:szCs w:val="20"/>
        </w:rPr>
        <w:t xml:space="preserve">, the following features </w:t>
      </w:r>
      <w:r w:rsidR="0044516C" w:rsidRPr="002E0C90">
        <w:rPr>
          <w:rFonts w:ascii="Times New Roman" w:hAnsi="Times New Roman"/>
          <w:szCs w:val="20"/>
        </w:rPr>
        <w:t xml:space="preserve">are labeled to </w:t>
      </w:r>
      <w:r w:rsidR="001B12A1" w:rsidRPr="002E0C90">
        <w:rPr>
          <w:rFonts w:ascii="Times New Roman" w:hAnsi="Times New Roman"/>
          <w:szCs w:val="20"/>
        </w:rPr>
        <w:t xml:space="preserve">need further discussion for </w:t>
      </w:r>
      <w:r w:rsidR="00257A3B" w:rsidRPr="002E0C90">
        <w:rPr>
          <w:rFonts w:ascii="Times New Roman" w:hAnsi="Times New Roman"/>
          <w:szCs w:val="20"/>
        </w:rPr>
        <w:t>“Per UE” or “Per band”</w:t>
      </w:r>
      <w:r w:rsidR="001B12A1" w:rsidRPr="002E0C90">
        <w:rPr>
          <w:rFonts w:ascii="Times New Roman" w:hAnsi="Times New Roman"/>
          <w:szCs w:val="20"/>
        </w:rPr>
        <w:t>, i.e. search space set group switching related features (10-9, 10-9</w:t>
      </w:r>
      <w:r w:rsidR="00257A3B" w:rsidRPr="002E0C90">
        <w:rPr>
          <w:rFonts w:ascii="Times New Roman" w:hAnsi="Times New Roman"/>
          <w:szCs w:val="20"/>
        </w:rPr>
        <w:t>b</w:t>
      </w:r>
      <w:r w:rsidR="001B12A1" w:rsidRPr="002E0C90">
        <w:rPr>
          <w:rFonts w:ascii="Times New Roman" w:hAnsi="Times New Roman"/>
          <w:szCs w:val="20"/>
        </w:rPr>
        <w:t>, 10-9</w:t>
      </w:r>
      <w:r w:rsidR="00257A3B" w:rsidRPr="002E0C90">
        <w:rPr>
          <w:rFonts w:ascii="Times New Roman" w:hAnsi="Times New Roman"/>
          <w:szCs w:val="20"/>
        </w:rPr>
        <w:t>c, 10-9d</w:t>
      </w:r>
      <w:r w:rsidR="001B12A1" w:rsidRPr="002E0C90">
        <w:rPr>
          <w:rFonts w:ascii="Times New Roman" w:hAnsi="Times New Roman"/>
          <w:szCs w:val="20"/>
        </w:rPr>
        <w:t>), HARQ related features (10-14, 10-15, 10-16, 10-17) , configured grant related features (</w:t>
      </w:r>
      <w:r w:rsidR="0044516C" w:rsidRPr="002E0C90">
        <w:rPr>
          <w:rFonts w:ascii="Times New Roman" w:hAnsi="Times New Roman"/>
          <w:szCs w:val="20"/>
        </w:rPr>
        <w:t>10-</w:t>
      </w:r>
      <w:r w:rsidR="00257A3B" w:rsidRPr="002E0C90">
        <w:rPr>
          <w:rFonts w:ascii="Times New Roman" w:hAnsi="Times New Roman"/>
          <w:szCs w:val="20"/>
        </w:rPr>
        <w:t>28</w:t>
      </w:r>
      <w:r w:rsidR="001B12A1" w:rsidRPr="002E0C90">
        <w:rPr>
          <w:rFonts w:ascii="Times New Roman" w:hAnsi="Times New Roman"/>
          <w:szCs w:val="20"/>
        </w:rPr>
        <w:t>)</w:t>
      </w:r>
      <w:r w:rsidR="0044516C" w:rsidRPr="002E0C90">
        <w:rPr>
          <w:rFonts w:ascii="Times New Roman" w:hAnsi="Times New Roman"/>
          <w:szCs w:val="20"/>
        </w:rPr>
        <w:t xml:space="preserve">, </w:t>
      </w:r>
      <w:r w:rsidR="00257A3B" w:rsidRPr="002E0C90">
        <w:rPr>
          <w:rFonts w:ascii="Times New Roman" w:hAnsi="Times New Roman"/>
          <w:szCs w:val="20"/>
        </w:rPr>
        <w:t>RSSI and channel occupancy measurement and reporting (10-10), SRS starting position at any OFDM symbol in a slot (10-11)</w:t>
      </w:r>
      <w:r w:rsidR="0044516C" w:rsidRPr="002E0C90">
        <w:rPr>
          <w:rFonts w:ascii="Times New Roman" w:hAnsi="Times New Roman"/>
          <w:szCs w:val="20"/>
        </w:rPr>
        <w:t xml:space="preserve">. </w:t>
      </w:r>
      <w:r w:rsidR="00257A3B" w:rsidRPr="002E0C90">
        <w:rPr>
          <w:rFonts w:ascii="Times New Roman" w:hAnsi="Times New Roman"/>
          <w:szCs w:val="20"/>
        </w:rPr>
        <w:t xml:space="preserve">Based on our understanding, “Per UE” will mean that it could be extended to licensed use while “Per band” means </w:t>
      </w:r>
      <w:r w:rsidR="002E0C90" w:rsidRPr="002E0C90">
        <w:rPr>
          <w:rFonts w:ascii="Times New Roman" w:hAnsi="Times New Roman"/>
          <w:szCs w:val="20"/>
        </w:rPr>
        <w:t xml:space="preserve">it will be used to unlicensed band only. </w:t>
      </w:r>
    </w:p>
    <w:p w14:paraId="73D88A79" w14:textId="7E68D61F" w:rsidR="002E0C90" w:rsidRPr="002E0C90" w:rsidRDefault="002E0C90" w:rsidP="00D61BB3">
      <w:pPr>
        <w:pStyle w:val="ae"/>
        <w:numPr>
          <w:ilvl w:val="0"/>
          <w:numId w:val="13"/>
        </w:numPr>
        <w:spacing w:before="120" w:after="120"/>
        <w:ind w:firstLineChars="0"/>
        <w:rPr>
          <w:rFonts w:ascii="Times New Roman" w:hAnsi="Times New Roman"/>
          <w:sz w:val="20"/>
          <w:szCs w:val="20"/>
        </w:rPr>
      </w:pPr>
      <w:r w:rsidRPr="002E0C90">
        <w:rPr>
          <w:rFonts w:ascii="Times New Roman" w:hAnsi="Times New Roman"/>
          <w:sz w:val="20"/>
          <w:szCs w:val="20"/>
        </w:rPr>
        <w:t>For search space set (SS) group switching related features (10-9, 10-9b, 10-9c, 10-9d), it is beneficial for power saving purpose in licensed band, i.e. one SS with sparse PDCCH monitoring in power saving mode and switch to another SS with frequent PDCCH monitoring when traffic arrives.</w:t>
      </w:r>
    </w:p>
    <w:p w14:paraId="29F9F33E" w14:textId="0716AE63" w:rsidR="002E0C90" w:rsidRPr="002E0C90" w:rsidRDefault="002E0C90" w:rsidP="00D61BB3">
      <w:pPr>
        <w:pStyle w:val="ae"/>
        <w:numPr>
          <w:ilvl w:val="0"/>
          <w:numId w:val="13"/>
        </w:numPr>
        <w:spacing w:before="120" w:after="120"/>
        <w:ind w:firstLineChars="0"/>
        <w:rPr>
          <w:rFonts w:ascii="Times New Roman" w:hAnsi="Times New Roman"/>
          <w:sz w:val="20"/>
          <w:szCs w:val="20"/>
        </w:rPr>
      </w:pPr>
      <w:r w:rsidRPr="002E0C90">
        <w:rPr>
          <w:rFonts w:ascii="Times New Roman" w:hAnsi="Times New Roman" w:hint="eastAsia"/>
          <w:sz w:val="20"/>
          <w:szCs w:val="20"/>
        </w:rPr>
        <w:t>F</w:t>
      </w:r>
      <w:r w:rsidRPr="002E0C90">
        <w:rPr>
          <w:rFonts w:ascii="Times New Roman" w:hAnsi="Times New Roman"/>
          <w:sz w:val="20"/>
          <w:szCs w:val="20"/>
        </w:rPr>
        <w:t>or SRS starting position at any OFDM symbol in a slot (10-11), it offers more flexibility on the placement of SRS which will also benefit the licensed band.</w:t>
      </w:r>
    </w:p>
    <w:p w14:paraId="5AC54820" w14:textId="44F02050" w:rsidR="002E0C90" w:rsidRPr="002E0C90" w:rsidRDefault="0044516C" w:rsidP="00D61BB3">
      <w:pPr>
        <w:pStyle w:val="ae"/>
        <w:numPr>
          <w:ilvl w:val="0"/>
          <w:numId w:val="13"/>
        </w:numPr>
        <w:spacing w:before="120" w:after="120"/>
        <w:ind w:firstLineChars="0"/>
        <w:rPr>
          <w:rFonts w:ascii="Times New Roman" w:hAnsi="Times New Roman"/>
          <w:sz w:val="20"/>
          <w:szCs w:val="20"/>
        </w:rPr>
      </w:pPr>
      <w:r w:rsidRPr="002E0C90">
        <w:rPr>
          <w:rFonts w:ascii="Times New Roman" w:hAnsi="Times New Roman"/>
          <w:sz w:val="20"/>
          <w:szCs w:val="20"/>
        </w:rPr>
        <w:t>For</w:t>
      </w:r>
      <w:r w:rsidR="00257A3B" w:rsidRPr="002E0C90">
        <w:rPr>
          <w:rFonts w:ascii="Times New Roman" w:hAnsi="Times New Roman"/>
          <w:sz w:val="20"/>
          <w:szCs w:val="20"/>
        </w:rPr>
        <w:t xml:space="preserve"> </w:t>
      </w:r>
      <w:r w:rsidR="002E0C90" w:rsidRPr="002E0C90">
        <w:rPr>
          <w:rFonts w:ascii="Times New Roman" w:hAnsi="Times New Roman"/>
          <w:sz w:val="20"/>
          <w:szCs w:val="20"/>
        </w:rPr>
        <w:t>other UE features</w:t>
      </w:r>
      <w:r w:rsidRPr="002E0C90">
        <w:rPr>
          <w:rFonts w:ascii="Times New Roman" w:hAnsi="Times New Roman"/>
          <w:sz w:val="20"/>
          <w:szCs w:val="20"/>
        </w:rPr>
        <w:t xml:space="preserve">, </w:t>
      </w:r>
      <w:r w:rsidRPr="002E0C90">
        <w:rPr>
          <w:rFonts w:ascii="Times New Roman" w:hAnsi="Times New Roman" w:hint="eastAsia"/>
          <w:sz w:val="20"/>
          <w:szCs w:val="20"/>
        </w:rPr>
        <w:t xml:space="preserve">we do not see the need </w:t>
      </w:r>
      <w:r w:rsidR="00435214" w:rsidRPr="002E0C90">
        <w:rPr>
          <w:rFonts w:ascii="Times New Roman" w:hAnsi="Times New Roman"/>
          <w:sz w:val="20"/>
          <w:szCs w:val="20"/>
        </w:rPr>
        <w:t>of</w:t>
      </w:r>
      <w:r w:rsidRPr="002E0C90">
        <w:rPr>
          <w:rFonts w:ascii="Times New Roman" w:hAnsi="Times New Roman" w:hint="eastAsia"/>
          <w:sz w:val="20"/>
          <w:szCs w:val="20"/>
        </w:rPr>
        <w:t xml:space="preserve"> extension to licensed band</w:t>
      </w:r>
      <w:r w:rsidR="00435214" w:rsidRPr="002E0C90">
        <w:rPr>
          <w:rFonts w:ascii="Times New Roman" w:hAnsi="Times New Roman"/>
          <w:sz w:val="20"/>
          <w:szCs w:val="20"/>
        </w:rPr>
        <w:t xml:space="preserve"> since </w:t>
      </w:r>
      <w:r w:rsidR="00257A3B" w:rsidRPr="002E0C90">
        <w:rPr>
          <w:rFonts w:ascii="Times New Roman" w:hAnsi="Times New Roman"/>
          <w:sz w:val="20"/>
          <w:szCs w:val="20"/>
        </w:rPr>
        <w:t>it</w:t>
      </w:r>
      <w:r w:rsidR="00435214" w:rsidRPr="002E0C90">
        <w:rPr>
          <w:rFonts w:ascii="Times New Roman" w:hAnsi="Times New Roman"/>
          <w:sz w:val="20"/>
          <w:szCs w:val="20"/>
        </w:rPr>
        <w:t xml:space="preserve"> is introduced due to </w:t>
      </w:r>
      <w:r w:rsidR="00257A3B" w:rsidRPr="002E0C90">
        <w:rPr>
          <w:rFonts w:ascii="Times New Roman" w:hAnsi="Times New Roman"/>
          <w:sz w:val="20"/>
          <w:szCs w:val="20"/>
        </w:rPr>
        <w:t>LBT</w:t>
      </w:r>
      <w:r w:rsidR="00435214" w:rsidRPr="002E0C90">
        <w:rPr>
          <w:rFonts w:ascii="Times New Roman" w:hAnsi="Times New Roman"/>
          <w:sz w:val="20"/>
          <w:szCs w:val="20"/>
        </w:rPr>
        <w:t xml:space="preserve"> requirement on unlicensed band which doesn’t exist in licensed band</w:t>
      </w:r>
      <w:r w:rsidR="002E0C90" w:rsidRPr="002E0C90">
        <w:rPr>
          <w:rFonts w:ascii="Times New Roman" w:hAnsi="Times New Roman"/>
          <w:sz w:val="20"/>
          <w:szCs w:val="20"/>
        </w:rPr>
        <w:t xml:space="preserve"> and no benefit is </w:t>
      </w:r>
    </w:p>
    <w:p w14:paraId="41686905" w14:textId="2BBA840D" w:rsidR="00984B38" w:rsidRDefault="00984B38" w:rsidP="00984B38">
      <w:pPr>
        <w:pStyle w:val="a7"/>
        <w:jc w:val="both"/>
        <w:rPr>
          <w:rFonts w:ascii="Times New Roman" w:hAnsi="Times New Roman"/>
          <w:b/>
        </w:rPr>
      </w:pPr>
      <w:bookmarkStart w:id="4" w:name="_Ref2101964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273DEB">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Pr="00984B38">
        <w:rPr>
          <w:rFonts w:ascii="Times New Roman" w:hAnsi="Times New Roman"/>
          <w:b/>
        </w:rPr>
        <w:t>SS group switching related features (10-9, 10-9</w:t>
      </w:r>
      <w:r w:rsidR="002E0C90">
        <w:rPr>
          <w:rFonts w:ascii="Times New Roman" w:hAnsi="Times New Roman"/>
          <w:b/>
        </w:rPr>
        <w:t>b</w:t>
      </w:r>
      <w:r w:rsidRPr="00984B38">
        <w:rPr>
          <w:rFonts w:ascii="Times New Roman" w:hAnsi="Times New Roman"/>
          <w:b/>
        </w:rPr>
        <w:t>, 10-9</w:t>
      </w:r>
      <w:r w:rsidR="002E0C90">
        <w:rPr>
          <w:rFonts w:ascii="Times New Roman" w:hAnsi="Times New Roman"/>
          <w:b/>
        </w:rPr>
        <w:t>c, 10-9d</w:t>
      </w:r>
      <w:r w:rsidRPr="00984B38">
        <w:rPr>
          <w:rFonts w:ascii="Times New Roman" w:hAnsi="Times New Roman"/>
          <w:b/>
        </w:rPr>
        <w:t xml:space="preserve">) </w:t>
      </w:r>
      <w:r w:rsidR="002E0C90">
        <w:rPr>
          <w:rFonts w:ascii="Times New Roman" w:hAnsi="Times New Roman"/>
          <w:b/>
        </w:rPr>
        <w:t xml:space="preserve">and </w:t>
      </w:r>
      <w:r w:rsidR="002E0C90" w:rsidRPr="002E0C90">
        <w:rPr>
          <w:rFonts w:ascii="Times New Roman" w:hAnsi="Times New Roman"/>
          <w:b/>
        </w:rPr>
        <w:t xml:space="preserve">SRS starting position at any OFDM symbol in a slot (10-11) </w:t>
      </w:r>
      <w:r w:rsidRPr="00984B38">
        <w:rPr>
          <w:rFonts w:ascii="Times New Roman" w:hAnsi="Times New Roman"/>
          <w:b/>
        </w:rPr>
        <w:t>could be extended to licensed use</w:t>
      </w:r>
      <w:r w:rsidR="002E0C90">
        <w:rPr>
          <w:rFonts w:ascii="Times New Roman" w:hAnsi="Times New Roman"/>
          <w:b/>
        </w:rPr>
        <w:t xml:space="preserve"> and adopt “Per UE” type</w:t>
      </w:r>
      <w:r w:rsidRPr="00984B38">
        <w:rPr>
          <w:rFonts w:ascii="Times New Roman" w:hAnsi="Times New Roman"/>
          <w:b/>
        </w:rPr>
        <w:t>.</w:t>
      </w:r>
      <w:bookmarkEnd w:id="4"/>
      <w:r>
        <w:rPr>
          <w:rFonts w:ascii="Times New Roman" w:hAnsi="Times New Roman"/>
          <w:b/>
        </w:rPr>
        <w:t xml:space="preserve"> </w:t>
      </w:r>
    </w:p>
    <w:p w14:paraId="6F5E423B" w14:textId="5E7BF566" w:rsidR="0014227D" w:rsidRPr="0014227D" w:rsidRDefault="0014227D" w:rsidP="0014227D">
      <w:pPr>
        <w:pStyle w:val="a7"/>
        <w:jc w:val="both"/>
        <w:rPr>
          <w:rFonts w:ascii="Times New Roman" w:hAnsi="Times New Roman"/>
          <w:b/>
        </w:rPr>
      </w:pPr>
      <w:bookmarkStart w:id="5" w:name="_Ref37341381"/>
      <w:r w:rsidRPr="0014227D">
        <w:rPr>
          <w:rFonts w:ascii="Times New Roman" w:hAnsi="Times New Roman" w:hint="eastAsia"/>
          <w:b/>
        </w:rPr>
        <w:t>P</w:t>
      </w:r>
      <w:r w:rsidRPr="0014227D">
        <w:rPr>
          <w:rFonts w:ascii="Times New Roman" w:hAnsi="Times New Roman"/>
          <w:b/>
        </w:rPr>
        <w:t xml:space="preserve">roposal </w:t>
      </w:r>
      <w:r w:rsidR="00CD1445" w:rsidRPr="000F4BB5">
        <w:rPr>
          <w:rFonts w:ascii="Times New Roman" w:hAnsi="Times New Roman"/>
          <w:b/>
        </w:rPr>
        <w:fldChar w:fldCharType="begin"/>
      </w:r>
      <w:r w:rsidR="00CD1445" w:rsidRPr="000F4BB5">
        <w:rPr>
          <w:rFonts w:ascii="Times New Roman" w:hAnsi="Times New Roman"/>
          <w:b/>
        </w:rPr>
        <w:instrText xml:space="preserve"> SEQ Proposal \* ARABIC </w:instrText>
      </w:r>
      <w:r w:rsidR="00CD1445" w:rsidRPr="000F4BB5">
        <w:rPr>
          <w:rFonts w:ascii="Times New Roman" w:hAnsi="Times New Roman"/>
          <w:b/>
        </w:rPr>
        <w:fldChar w:fldCharType="separate"/>
      </w:r>
      <w:r w:rsidR="00273DEB">
        <w:rPr>
          <w:rFonts w:ascii="Times New Roman" w:hAnsi="Times New Roman"/>
          <w:b/>
          <w:noProof/>
        </w:rPr>
        <w:t>2</w:t>
      </w:r>
      <w:r w:rsidR="00CD1445" w:rsidRPr="000F4BB5">
        <w:rPr>
          <w:rFonts w:ascii="Times New Roman" w:hAnsi="Times New Roman"/>
          <w:b/>
        </w:rPr>
        <w:fldChar w:fldCharType="end"/>
      </w:r>
      <w:r w:rsidRPr="0014227D">
        <w:rPr>
          <w:rFonts w:ascii="Times New Roman" w:hAnsi="Times New Roman"/>
          <w:b/>
        </w:rPr>
        <w:t xml:space="preserve">: </w:t>
      </w:r>
      <w:r>
        <w:rPr>
          <w:rFonts w:ascii="Times New Roman" w:hAnsi="Times New Roman"/>
          <w:b/>
        </w:rPr>
        <w:t xml:space="preserve">For UE features that </w:t>
      </w:r>
      <w:r w:rsidR="000A5B23">
        <w:rPr>
          <w:rFonts w:ascii="Times New Roman" w:hAnsi="Times New Roman"/>
          <w:b/>
        </w:rPr>
        <w:t>are not</w:t>
      </w:r>
      <w:r>
        <w:rPr>
          <w:rFonts w:ascii="Times New Roman" w:hAnsi="Times New Roman"/>
          <w:b/>
        </w:rPr>
        <w:t xml:space="preserve"> agree</w:t>
      </w:r>
      <w:r w:rsidR="000A5B23">
        <w:rPr>
          <w:rFonts w:ascii="Times New Roman" w:hAnsi="Times New Roman"/>
          <w:b/>
        </w:rPr>
        <w:t>d to</w:t>
      </w:r>
      <w:r>
        <w:rPr>
          <w:rFonts w:ascii="Times New Roman" w:hAnsi="Times New Roman"/>
          <w:b/>
        </w:rPr>
        <w:t xml:space="preserve"> </w:t>
      </w:r>
      <w:r w:rsidR="000A5B23">
        <w:rPr>
          <w:rFonts w:ascii="Times New Roman" w:hAnsi="Times New Roman"/>
          <w:b/>
        </w:rPr>
        <w:t>be extended to</w:t>
      </w:r>
      <w:r>
        <w:rPr>
          <w:rFonts w:ascii="Times New Roman" w:hAnsi="Times New Roman"/>
          <w:b/>
        </w:rPr>
        <w:t xml:space="preserve"> license</w:t>
      </w:r>
      <w:r w:rsidR="000A5B23">
        <w:rPr>
          <w:rFonts w:ascii="Times New Roman" w:hAnsi="Times New Roman"/>
          <w:b/>
        </w:rPr>
        <w:t>d</w:t>
      </w:r>
      <w:r>
        <w:rPr>
          <w:rFonts w:ascii="Times New Roman" w:hAnsi="Times New Roman"/>
          <w:b/>
        </w:rPr>
        <w:t xml:space="preserve"> use, update “per band” to “per unlicensed band”.</w:t>
      </w:r>
      <w:bookmarkEnd w:id="5"/>
      <w:r>
        <w:rPr>
          <w:rFonts w:ascii="Times New Roman" w:hAnsi="Times New Roman"/>
          <w:b/>
        </w:rPr>
        <w:t xml:space="preserve"> </w:t>
      </w:r>
    </w:p>
    <w:p w14:paraId="5FBAA732" w14:textId="4F1996E1" w:rsidR="00984B38" w:rsidRDefault="00984B38" w:rsidP="00984B38">
      <w:pPr>
        <w:spacing w:before="120" w:after="120"/>
        <w:jc w:val="both"/>
        <w:rPr>
          <w:rFonts w:ascii="Times New Roman" w:hAnsi="Times New Roman"/>
        </w:rPr>
      </w:pPr>
      <w:r w:rsidRPr="00984B38">
        <w:rPr>
          <w:rFonts w:ascii="Times New Roman" w:hAnsi="Times New Roman"/>
        </w:rPr>
        <w:t xml:space="preserve">Second, </w:t>
      </w:r>
      <w:r w:rsidR="00515630">
        <w:rPr>
          <w:rFonts w:ascii="Times New Roman" w:hAnsi="Times New Roman"/>
        </w:rPr>
        <w:t>in</w:t>
      </w:r>
      <w:r w:rsidR="00B62F49">
        <w:rPr>
          <w:rFonts w:ascii="Times New Roman" w:hAnsi="Times New Roman"/>
        </w:rPr>
        <w:t xml:space="preserve"> </w:t>
      </w:r>
      <w:r w:rsidR="0024201C">
        <w:rPr>
          <w:rFonts w:ascii="Times New Roman" w:hAnsi="Times New Roman"/>
        </w:rPr>
        <w:t>RAN1 100bis-e, the following agreement is made regarding the structure of NRU UE feature list:</w:t>
      </w:r>
    </w:p>
    <w:p w14:paraId="4C23A10D" w14:textId="77777777" w:rsidR="0024201C" w:rsidRPr="0024201C" w:rsidRDefault="0024201C" w:rsidP="0024201C">
      <w:pPr>
        <w:rPr>
          <w:rFonts w:ascii="Times New Roman" w:eastAsia="等线" w:hAnsi="Times New Roman"/>
          <w:sz w:val="16"/>
        </w:rPr>
      </w:pPr>
      <w:r w:rsidRPr="0024201C">
        <w:rPr>
          <w:rFonts w:ascii="Times New Roman" w:eastAsia="等线" w:hAnsi="Times New Roman"/>
          <w:b/>
          <w:bCs/>
          <w:sz w:val="16"/>
          <w:highlight w:val="green"/>
        </w:rPr>
        <w:t>Agreements</w:t>
      </w:r>
      <w:r w:rsidRPr="0024201C">
        <w:rPr>
          <w:rFonts w:ascii="Times New Roman" w:eastAsia="等线" w:hAnsi="Times New Roman"/>
          <w:b/>
          <w:bCs/>
          <w:sz w:val="16"/>
        </w:rPr>
        <w:t>:</w:t>
      </w:r>
    </w:p>
    <w:p w14:paraId="0DE64E6F" w14:textId="77777777" w:rsidR="0024201C" w:rsidRPr="0024201C" w:rsidRDefault="0024201C" w:rsidP="00D61BB3">
      <w:pPr>
        <w:pStyle w:val="ae"/>
        <w:widowControl/>
        <w:numPr>
          <w:ilvl w:val="0"/>
          <w:numId w:val="12"/>
        </w:numPr>
        <w:ind w:left="400" w:firstLineChars="0" w:hanging="400"/>
        <w:jc w:val="left"/>
        <w:rPr>
          <w:rFonts w:ascii="Times New Roman" w:eastAsia="等线" w:hAnsi="Times New Roman"/>
          <w:sz w:val="18"/>
        </w:rPr>
      </w:pPr>
      <w:r w:rsidRPr="0024201C">
        <w:rPr>
          <w:rFonts w:ascii="Times New Roman" w:eastAsia="等线" w:hAnsi="Times New Roman"/>
          <w:sz w:val="18"/>
        </w:rPr>
        <w:t>Define new basic FGs with components that have tightly related functionality to replace current basic FGs</w:t>
      </w:r>
    </w:p>
    <w:p w14:paraId="575BC294" w14:textId="77777777" w:rsidR="0024201C" w:rsidRPr="0024201C" w:rsidRDefault="0024201C" w:rsidP="00D61BB3">
      <w:pPr>
        <w:pStyle w:val="ae"/>
        <w:widowControl/>
        <w:numPr>
          <w:ilvl w:val="1"/>
          <w:numId w:val="12"/>
        </w:numPr>
        <w:ind w:left="400" w:firstLineChars="0" w:hanging="400"/>
        <w:jc w:val="left"/>
        <w:rPr>
          <w:rFonts w:ascii="Times New Roman" w:eastAsia="等线" w:hAnsi="Times New Roman"/>
          <w:sz w:val="18"/>
        </w:rPr>
      </w:pPr>
      <w:r w:rsidRPr="0024201C">
        <w:rPr>
          <w:rFonts w:ascii="Times New Roman" w:eastAsia="等线" w:hAnsi="Times New Roman"/>
          <w:sz w:val="18"/>
        </w:rPr>
        <w:t>In “mandatory/optional” column for the possible basic FGs, it should be clarified that the FG may be a part of basic operation for a particular scenario</w:t>
      </w:r>
    </w:p>
    <w:p w14:paraId="764481D4" w14:textId="77777777" w:rsidR="0024201C" w:rsidRPr="0024201C" w:rsidRDefault="0024201C" w:rsidP="00D61BB3">
      <w:pPr>
        <w:pStyle w:val="ae"/>
        <w:widowControl/>
        <w:numPr>
          <w:ilvl w:val="2"/>
          <w:numId w:val="12"/>
        </w:numPr>
        <w:ind w:left="400" w:firstLineChars="0" w:hanging="400"/>
        <w:jc w:val="left"/>
        <w:rPr>
          <w:rFonts w:ascii="Times New Roman" w:eastAsia="等线" w:hAnsi="Times New Roman"/>
          <w:sz w:val="18"/>
        </w:rPr>
      </w:pPr>
      <w:r w:rsidRPr="0024201C">
        <w:rPr>
          <w:rFonts w:ascii="Times New Roman" w:eastAsia="等线" w:hAnsi="Times New Roman"/>
          <w:sz w:val="18"/>
        </w:rPr>
        <w:t>If the FG is decided as a basic FG, the note will be updated to clarify that the FG is “optional with capability signaling and is required to be supported for the scenario”</w:t>
      </w:r>
    </w:p>
    <w:p w14:paraId="3D358898" w14:textId="77777777" w:rsidR="0024201C" w:rsidRPr="0024201C" w:rsidRDefault="0024201C" w:rsidP="00D61BB3">
      <w:pPr>
        <w:pStyle w:val="ae"/>
        <w:widowControl/>
        <w:numPr>
          <w:ilvl w:val="1"/>
          <w:numId w:val="12"/>
        </w:numPr>
        <w:ind w:left="400" w:firstLineChars="0" w:hanging="400"/>
        <w:jc w:val="left"/>
        <w:rPr>
          <w:rFonts w:ascii="Times New Roman" w:eastAsia="等线" w:hAnsi="Times New Roman"/>
          <w:sz w:val="18"/>
        </w:rPr>
      </w:pPr>
      <w:r w:rsidRPr="0024201C">
        <w:rPr>
          <w:rFonts w:ascii="Times New Roman" w:eastAsia="等线" w:hAnsi="Times New Roman"/>
          <w:sz w:val="18"/>
        </w:rPr>
        <w:t>Note: each basic FG will have capability bit</w:t>
      </w:r>
    </w:p>
    <w:p w14:paraId="49C5FC52" w14:textId="77777777" w:rsidR="0024201C" w:rsidRPr="0024201C" w:rsidRDefault="0024201C" w:rsidP="00D61BB3">
      <w:pPr>
        <w:pStyle w:val="ae"/>
        <w:widowControl/>
        <w:numPr>
          <w:ilvl w:val="0"/>
          <w:numId w:val="12"/>
        </w:numPr>
        <w:ind w:left="400" w:firstLineChars="0" w:hanging="400"/>
        <w:jc w:val="left"/>
        <w:rPr>
          <w:rFonts w:ascii="Times New Roman" w:eastAsia="等线" w:hAnsi="Times New Roman"/>
          <w:b/>
          <w:bCs/>
          <w:sz w:val="18"/>
        </w:rPr>
      </w:pPr>
      <w:r w:rsidRPr="0024201C">
        <w:rPr>
          <w:rFonts w:ascii="Times New Roman" w:eastAsia="等线" w:hAnsi="Times New Roman"/>
          <w:sz w:val="18"/>
        </w:rPr>
        <w:t>[</w:t>
      </w:r>
      <w:r w:rsidRPr="0024201C">
        <w:rPr>
          <w:rFonts w:ascii="Times New Roman" w:eastAsia="等线" w:hAnsi="Times New Roman"/>
          <w:sz w:val="18"/>
          <w:highlight w:val="darkYellow"/>
        </w:rPr>
        <w:t>Working assumption</w:t>
      </w:r>
      <w:r w:rsidRPr="0024201C">
        <w:rPr>
          <w:rFonts w:ascii="Times New Roman" w:eastAsia="等线" w:hAnsi="Times New Roman"/>
          <w:sz w:val="18"/>
        </w:rPr>
        <w:t>] Take either one of following alternatives</w:t>
      </w:r>
    </w:p>
    <w:p w14:paraId="4B6DAC1B" w14:textId="77777777" w:rsidR="0024201C" w:rsidRPr="0024201C" w:rsidRDefault="0024201C" w:rsidP="0024201C">
      <w:pPr>
        <w:ind w:leftChars="100" w:left="200"/>
        <w:rPr>
          <w:rFonts w:ascii="Times New Roman" w:eastAsia="等线" w:hAnsi="Times New Roman"/>
          <w:sz w:val="16"/>
        </w:rPr>
      </w:pPr>
      <w:r w:rsidRPr="0024201C">
        <w:rPr>
          <w:rFonts w:ascii="Times New Roman" w:eastAsia="等线" w:hAnsi="Times New Roman"/>
          <w:sz w:val="16"/>
        </w:rPr>
        <w:t>Alt.1:</w:t>
      </w:r>
    </w:p>
    <w:p w14:paraId="49706B3D" w14:textId="77777777" w:rsidR="0024201C" w:rsidRPr="0024201C" w:rsidRDefault="0024201C" w:rsidP="00D61BB3">
      <w:pPr>
        <w:pStyle w:val="ae"/>
        <w:widowControl/>
        <w:numPr>
          <w:ilvl w:val="0"/>
          <w:numId w:val="12"/>
        </w:numPr>
        <w:ind w:leftChars="100" w:left="600" w:firstLineChars="0" w:hanging="400"/>
        <w:jc w:val="left"/>
        <w:rPr>
          <w:rFonts w:ascii="Times New Roman" w:eastAsia="等线" w:hAnsi="Times New Roman"/>
          <w:sz w:val="18"/>
        </w:rPr>
      </w:pPr>
      <w:r w:rsidRPr="0024201C">
        <w:rPr>
          <w:rFonts w:ascii="Times New Roman" w:eastAsia="等线" w:hAnsi="Times New Roman"/>
          <w:sz w:val="18"/>
        </w:rPr>
        <w:t>Define a table to capture the basic FGs required for a certain NR-U deployment scenario in specification</w:t>
      </w:r>
    </w:p>
    <w:p w14:paraId="78CEDE6B" w14:textId="77777777" w:rsidR="0024201C" w:rsidRPr="0024201C" w:rsidRDefault="0024201C" w:rsidP="00D61BB3">
      <w:pPr>
        <w:pStyle w:val="ae"/>
        <w:widowControl/>
        <w:numPr>
          <w:ilvl w:val="1"/>
          <w:numId w:val="12"/>
        </w:numPr>
        <w:ind w:leftChars="275" w:left="950" w:firstLineChars="0" w:hanging="400"/>
        <w:jc w:val="left"/>
        <w:rPr>
          <w:rFonts w:ascii="Times New Roman" w:eastAsia="等线" w:hAnsi="Times New Roman"/>
          <w:sz w:val="18"/>
        </w:rPr>
      </w:pPr>
      <w:r w:rsidRPr="0024201C">
        <w:rPr>
          <w:rFonts w:ascii="Times New Roman" w:eastAsia="等线" w:hAnsi="Times New Roman"/>
          <w:sz w:val="18"/>
        </w:rPr>
        <w:t>Note: the table does not have impact on capability signaling</w:t>
      </w:r>
    </w:p>
    <w:p w14:paraId="3337B837" w14:textId="77777777" w:rsidR="0024201C" w:rsidRPr="0024201C" w:rsidRDefault="0024201C" w:rsidP="00D61BB3">
      <w:pPr>
        <w:pStyle w:val="ae"/>
        <w:widowControl/>
        <w:numPr>
          <w:ilvl w:val="1"/>
          <w:numId w:val="12"/>
        </w:numPr>
        <w:ind w:leftChars="275" w:left="950" w:firstLineChars="0" w:hanging="400"/>
        <w:jc w:val="left"/>
        <w:rPr>
          <w:rFonts w:ascii="Times New Roman" w:eastAsia="等线" w:hAnsi="Times New Roman"/>
          <w:sz w:val="18"/>
        </w:rPr>
      </w:pPr>
      <w:r w:rsidRPr="0024201C">
        <w:rPr>
          <w:rFonts w:ascii="Times New Roman" w:eastAsia="等线" w:hAnsi="Times New Roman"/>
          <w:sz w:val="18"/>
        </w:rPr>
        <w:t xml:space="preserve">Note: the grouping of FGs in the table does not have impact on “prerequisite FGs” column in features list </w:t>
      </w:r>
    </w:p>
    <w:p w14:paraId="7BA2EDDE" w14:textId="77777777" w:rsidR="0024201C" w:rsidRPr="0024201C" w:rsidRDefault="0024201C" w:rsidP="0024201C">
      <w:pPr>
        <w:ind w:leftChars="100" w:left="200"/>
        <w:rPr>
          <w:rFonts w:ascii="Times New Roman" w:eastAsia="等线" w:hAnsi="Times New Roman"/>
          <w:sz w:val="16"/>
        </w:rPr>
      </w:pPr>
      <w:r w:rsidRPr="0024201C">
        <w:rPr>
          <w:rFonts w:ascii="Times New Roman" w:eastAsia="等线" w:hAnsi="Times New Roman"/>
          <w:sz w:val="16"/>
        </w:rPr>
        <w:t>Alt.2:</w:t>
      </w:r>
    </w:p>
    <w:p w14:paraId="348C6053" w14:textId="77777777" w:rsidR="0024201C" w:rsidRPr="0024201C" w:rsidRDefault="0024201C" w:rsidP="00D61BB3">
      <w:pPr>
        <w:pStyle w:val="ae"/>
        <w:widowControl/>
        <w:numPr>
          <w:ilvl w:val="0"/>
          <w:numId w:val="12"/>
        </w:numPr>
        <w:ind w:leftChars="100" w:left="600" w:firstLineChars="0" w:hanging="400"/>
        <w:jc w:val="left"/>
        <w:rPr>
          <w:rFonts w:ascii="Times New Roman" w:eastAsia="等线" w:hAnsi="Times New Roman"/>
          <w:sz w:val="18"/>
        </w:rPr>
      </w:pPr>
      <w:r w:rsidRPr="0024201C">
        <w:rPr>
          <w:rFonts w:ascii="Times New Roman" w:eastAsia="等线" w:hAnsi="Times New Roman"/>
          <w:sz w:val="18"/>
        </w:rPr>
        <w:t>Capture an association between the basic FGs required to be supported and a certain NR-U deployment scenario in the UE features list</w:t>
      </w:r>
    </w:p>
    <w:p w14:paraId="23BE071D" w14:textId="0AB634CD" w:rsidR="0024201C" w:rsidRPr="002E0C90" w:rsidRDefault="002E0C90" w:rsidP="00984B3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capture of association between the FGs to a certain NR-U scenario, </w:t>
      </w:r>
      <w:r w:rsidR="002D26CA">
        <w:rPr>
          <w:rFonts w:ascii="Times New Roman" w:eastAsiaTheme="minorEastAsia" w:hAnsi="Times New Roman"/>
          <w:lang w:eastAsia="zh-CN"/>
        </w:rPr>
        <w:t>we think it is enough to clarify that the FG is a part of basic operation for a particular scenario and the association between the FGs and a certain NR-U deployment scenario is established. Note that, one FG could be clarified as a part of basic operation for multiple scenarios. For example, 10-1 is for NRU standalone scenario with dynamic channel access and CA DL+UL scenario with dynamic channel access.</w:t>
      </w:r>
    </w:p>
    <w:p w14:paraId="56B4A468" w14:textId="0712DFFB" w:rsidR="001334DB" w:rsidRPr="002D26CA" w:rsidRDefault="001334DB" w:rsidP="001334DB">
      <w:pPr>
        <w:pStyle w:val="a7"/>
        <w:jc w:val="both"/>
        <w:rPr>
          <w:rFonts w:ascii="Times New Roman" w:hAnsi="Times New Roman"/>
          <w:b/>
        </w:rPr>
      </w:pPr>
      <w:bookmarkStart w:id="6" w:name="_Ref37341383"/>
      <w:r w:rsidRPr="002D26CA">
        <w:rPr>
          <w:rFonts w:ascii="Times New Roman" w:hAnsi="Times New Roman"/>
          <w:b/>
        </w:rPr>
        <w:t xml:space="preserve">Proposal </w:t>
      </w:r>
      <w:r w:rsidRPr="002D26CA">
        <w:rPr>
          <w:rFonts w:ascii="Times New Roman" w:hAnsi="Times New Roman"/>
          <w:b/>
        </w:rPr>
        <w:fldChar w:fldCharType="begin"/>
      </w:r>
      <w:r w:rsidRPr="002D26CA">
        <w:rPr>
          <w:rFonts w:ascii="Times New Roman" w:hAnsi="Times New Roman"/>
          <w:b/>
        </w:rPr>
        <w:instrText xml:space="preserve"> SEQ Proposal \* ARABIC </w:instrText>
      </w:r>
      <w:r w:rsidRPr="002D26CA">
        <w:rPr>
          <w:rFonts w:ascii="Times New Roman" w:hAnsi="Times New Roman"/>
          <w:b/>
        </w:rPr>
        <w:fldChar w:fldCharType="separate"/>
      </w:r>
      <w:r w:rsidR="00273DEB">
        <w:rPr>
          <w:rFonts w:ascii="Times New Roman" w:hAnsi="Times New Roman"/>
          <w:b/>
          <w:noProof/>
        </w:rPr>
        <w:t>3</w:t>
      </w:r>
      <w:r w:rsidRPr="002D26CA">
        <w:rPr>
          <w:rFonts w:ascii="Times New Roman" w:hAnsi="Times New Roman"/>
          <w:b/>
        </w:rPr>
        <w:fldChar w:fldCharType="end"/>
      </w:r>
      <w:r w:rsidRPr="002D26CA">
        <w:rPr>
          <w:rFonts w:ascii="Times New Roman" w:hAnsi="Times New Roman"/>
          <w:b/>
        </w:rPr>
        <w:t>:</w:t>
      </w:r>
      <w:r w:rsidR="002D26CA" w:rsidRPr="002D26CA">
        <w:rPr>
          <w:rFonts w:ascii="Times New Roman" w:hAnsi="Times New Roman"/>
          <w:b/>
        </w:rPr>
        <w:t xml:space="preserve"> </w:t>
      </w:r>
      <w:r w:rsidR="002D26CA" w:rsidRPr="002D26CA">
        <w:rPr>
          <w:rFonts w:ascii="Times New Roman" w:eastAsiaTheme="minorEastAsia" w:hAnsi="Times New Roman"/>
          <w:b/>
          <w:lang w:eastAsia="zh-CN"/>
        </w:rPr>
        <w:t xml:space="preserve">Clarifying that the FG is a part of basic operation for a particular scenario in </w:t>
      </w:r>
      <w:r w:rsidR="002D26CA" w:rsidRPr="002D26CA">
        <w:rPr>
          <w:rFonts w:ascii="Times New Roman" w:eastAsia="等线" w:hAnsi="Times New Roman"/>
          <w:b/>
        </w:rPr>
        <w:t>“mandatory/optional” column</w:t>
      </w:r>
      <w:r w:rsidR="002D26CA" w:rsidRPr="002D26CA">
        <w:rPr>
          <w:rFonts w:ascii="Times New Roman" w:eastAsiaTheme="minorEastAsia" w:hAnsi="Times New Roman"/>
          <w:b/>
          <w:lang w:eastAsia="zh-CN"/>
        </w:rPr>
        <w:t xml:space="preserve"> of UE feature list is enough to establish the association between the FGs to a certain NR-U scenario</w:t>
      </w:r>
      <w:r w:rsidR="00F273E2" w:rsidRPr="002D26CA">
        <w:rPr>
          <w:rFonts w:ascii="Times New Roman" w:hAnsi="Times New Roman"/>
          <w:b/>
        </w:rPr>
        <w:t>.</w:t>
      </w:r>
      <w:bookmarkEnd w:id="6"/>
    </w:p>
    <w:p w14:paraId="5D0802C4" w14:textId="6EA0E714" w:rsidR="00CD1445" w:rsidRPr="0043345A" w:rsidRDefault="00F273E2" w:rsidP="0043345A">
      <w:pPr>
        <w:spacing w:before="120" w:after="120"/>
        <w:jc w:val="both"/>
        <w:rPr>
          <w:rFonts w:ascii="Times New Roman" w:hAnsi="Times New Roman"/>
        </w:rPr>
      </w:pPr>
      <w:r w:rsidRPr="00F273E2">
        <w:rPr>
          <w:rFonts w:ascii="Times New Roman" w:hAnsi="Times New Roman" w:hint="eastAsia"/>
        </w:rPr>
        <w:t>F</w:t>
      </w:r>
      <w:r w:rsidRPr="00F273E2">
        <w:rPr>
          <w:rFonts w:ascii="Times New Roman" w:hAnsi="Times New Roman"/>
        </w:rPr>
        <w:t>inally</w:t>
      </w:r>
      <w:r w:rsidRPr="0014227D">
        <w:rPr>
          <w:rFonts w:ascii="Times New Roman" w:hAnsi="Times New Roman"/>
        </w:rPr>
        <w:t xml:space="preserve">, we provide our comments on </w:t>
      </w:r>
      <w:r w:rsidR="000B1056" w:rsidRPr="0014227D">
        <w:rPr>
          <w:rFonts w:ascii="Times New Roman" w:hAnsi="Times New Roman"/>
        </w:rPr>
        <w:t>the following</w:t>
      </w:r>
      <w:r w:rsidRPr="0014227D">
        <w:rPr>
          <w:rFonts w:ascii="Times New Roman" w:hAnsi="Times New Roman"/>
        </w:rPr>
        <w:t xml:space="preserve"> specific UE features below</w:t>
      </w:r>
      <w:r w:rsidR="000B1056" w:rsidRPr="0014227D">
        <w:rPr>
          <w:rFonts w:ascii="Times New Roman" w:hAnsi="Times New Roman"/>
        </w:rPr>
        <w:t xml:space="preserve"> respectively</w:t>
      </w:r>
      <w:r w:rsidRPr="0014227D">
        <w:rPr>
          <w:rFonts w:ascii="Times New Roman" w:hAnsi="Times New Roman"/>
        </w:rPr>
        <w:t>:</w:t>
      </w:r>
    </w:p>
    <w:p w14:paraId="6443372F" w14:textId="33062906" w:rsidR="0014227D" w:rsidRDefault="0014227D" w:rsidP="00D61BB3">
      <w:pPr>
        <w:pStyle w:val="ae"/>
        <w:numPr>
          <w:ilvl w:val="0"/>
          <w:numId w:val="11"/>
        </w:numPr>
        <w:spacing w:before="120" w:after="120"/>
        <w:ind w:firstLineChars="0"/>
        <w:rPr>
          <w:rFonts w:ascii="Times New Roman" w:eastAsiaTheme="minorEastAsia" w:hAnsi="Times New Roman"/>
          <w:sz w:val="20"/>
          <w:szCs w:val="20"/>
          <w:lang w:val="en-GB"/>
        </w:rPr>
      </w:pPr>
      <w:r w:rsidRPr="00C319BC">
        <w:rPr>
          <w:rFonts w:ascii="Times New Roman" w:eastAsiaTheme="minorEastAsia" w:hAnsi="Times New Roman" w:hint="eastAsia"/>
          <w:sz w:val="20"/>
          <w:szCs w:val="20"/>
          <w:lang w:val="en-GB"/>
        </w:rPr>
        <w:lastRenderedPageBreak/>
        <w:t>O</w:t>
      </w:r>
      <w:r w:rsidRPr="00C319BC">
        <w:rPr>
          <w:rFonts w:ascii="Times New Roman" w:eastAsiaTheme="minorEastAsia" w:hAnsi="Times New Roman"/>
          <w:sz w:val="20"/>
          <w:szCs w:val="20"/>
          <w:lang w:val="en-GB"/>
        </w:rPr>
        <w:t xml:space="preserve">n </w:t>
      </w:r>
      <w:r w:rsidRPr="00C319BC">
        <w:rPr>
          <w:rFonts w:ascii="Times New Roman" w:eastAsiaTheme="minorEastAsia" w:hAnsi="Times New Roman"/>
          <w:b/>
          <w:sz w:val="20"/>
          <w:szCs w:val="20"/>
          <w:lang w:val="en-GB"/>
        </w:rPr>
        <w:t>10-19a</w:t>
      </w:r>
      <w:r w:rsidR="00CD1445">
        <w:rPr>
          <w:rFonts w:ascii="Times New Roman" w:eastAsiaTheme="minorEastAsia" w:hAnsi="Times New Roman"/>
          <w:b/>
          <w:sz w:val="20"/>
          <w:szCs w:val="20"/>
          <w:lang w:val="en-GB"/>
        </w:rPr>
        <w:t xml:space="preserve"> </w:t>
      </w:r>
      <w:r w:rsidR="00CD1445" w:rsidRPr="00CD1445">
        <w:rPr>
          <w:rFonts w:ascii="Times New Roman" w:eastAsiaTheme="minorEastAsia" w:hAnsi="Times New Roman"/>
          <w:sz w:val="20"/>
          <w:szCs w:val="20"/>
          <w:lang w:val="en-GB"/>
        </w:rPr>
        <w:t>(</w:t>
      </w:r>
      <w:r w:rsidR="00CD1445" w:rsidRPr="00CD1445">
        <w:rPr>
          <w:rFonts w:ascii="Times New Roman" w:eastAsiaTheme="minorEastAsia" w:hAnsi="Times New Roman"/>
          <w:i/>
          <w:sz w:val="20"/>
          <w:szCs w:val="20"/>
          <w:lang w:val="en-GB"/>
        </w:rPr>
        <w:t>Support DL reception with subset of RB sets</w:t>
      </w:r>
      <w:r w:rsidR="00CD1445" w:rsidRPr="00CD1445">
        <w:rPr>
          <w:rFonts w:ascii="Times New Roman" w:eastAsiaTheme="minorEastAsia" w:hAnsi="Times New Roman"/>
          <w:sz w:val="20"/>
          <w:szCs w:val="20"/>
          <w:lang w:val="en-GB"/>
        </w:rPr>
        <w:t>)</w:t>
      </w:r>
      <w:r w:rsidRPr="00C319BC">
        <w:rPr>
          <w:rFonts w:ascii="Times New Roman" w:eastAsiaTheme="minorEastAsia" w:hAnsi="Times New Roman"/>
          <w:sz w:val="20"/>
          <w:szCs w:val="20"/>
          <w:lang w:val="en-GB"/>
        </w:rPr>
        <w:t xml:space="preserve">, </w:t>
      </w:r>
      <w:r w:rsidR="000A5B23" w:rsidRPr="00C319BC">
        <w:rPr>
          <w:rFonts w:ascii="Times New Roman" w:eastAsiaTheme="minorEastAsia" w:hAnsi="Times New Roman"/>
          <w:sz w:val="20"/>
          <w:szCs w:val="20"/>
          <w:lang w:val="en-GB"/>
        </w:rPr>
        <w:t>it seems only related with CSI-RS from component description but not aligned with the feature name or description part. It should be clarified what’s the intention for this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D836EC" w:rsidRPr="001E28EE" w14:paraId="7C2D07FF"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35E9DBAD"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679D5829"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1A4BF9CF" w14:textId="77777777" w:rsidR="00D836EC" w:rsidRPr="009907C6" w:rsidRDefault="00D836EC" w:rsidP="008A727A">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6FBB36AA"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D836EC" w:rsidRPr="00D836EC" w14:paraId="19A9BB8E"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6698C5BC" w14:textId="5FE9D43F"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10-19a</w:t>
            </w:r>
          </w:p>
        </w:tc>
        <w:tc>
          <w:tcPr>
            <w:tcW w:w="2268" w:type="dxa"/>
            <w:tcBorders>
              <w:top w:val="single" w:sz="4" w:space="0" w:color="auto"/>
              <w:left w:val="single" w:sz="4" w:space="0" w:color="auto"/>
              <w:bottom w:val="single" w:sz="4" w:space="0" w:color="auto"/>
              <w:right w:val="single" w:sz="4" w:space="0" w:color="auto"/>
            </w:tcBorders>
            <w:hideMark/>
          </w:tcPr>
          <w:p w14:paraId="0DE6A021" w14:textId="5EDFF5A7" w:rsidR="00D836EC" w:rsidRPr="00D836EC" w:rsidRDefault="00D836EC" w:rsidP="00D836EC">
            <w:pPr>
              <w:keepNext/>
              <w:keepLines/>
              <w:spacing w:line="256" w:lineRule="auto"/>
              <w:rPr>
                <w:rFonts w:ascii="Arial" w:eastAsia="宋体" w:hAnsi="Arial"/>
                <w:sz w:val="16"/>
                <w:szCs w:val="20"/>
                <w:lang w:val="en-GB" w:eastAsia="zh-CN"/>
              </w:rPr>
            </w:pPr>
            <w:bookmarkStart w:id="7" w:name="_Hlk37339205"/>
            <w:r w:rsidRPr="00D836EC">
              <w:rPr>
                <w:sz w:val="16"/>
              </w:rPr>
              <w:t xml:space="preserve">Support </w:t>
            </w:r>
            <w:r w:rsidRPr="00254589">
              <w:rPr>
                <w:sz w:val="16"/>
                <w:highlight w:val="yellow"/>
              </w:rPr>
              <w:t>DL reception</w:t>
            </w:r>
            <w:r w:rsidRPr="00D836EC">
              <w:rPr>
                <w:sz w:val="16"/>
              </w:rPr>
              <w:t xml:space="preserve"> with subset of RB sets</w:t>
            </w:r>
            <w:bookmarkEnd w:id="7"/>
          </w:p>
        </w:tc>
        <w:tc>
          <w:tcPr>
            <w:tcW w:w="3686" w:type="dxa"/>
            <w:tcBorders>
              <w:top w:val="single" w:sz="4" w:space="0" w:color="auto"/>
              <w:left w:val="single" w:sz="4" w:space="0" w:color="auto"/>
              <w:bottom w:val="single" w:sz="4" w:space="0" w:color="auto"/>
              <w:right w:val="single" w:sz="4" w:space="0" w:color="auto"/>
            </w:tcBorders>
          </w:tcPr>
          <w:p w14:paraId="2094B13C" w14:textId="3A08B0CF" w:rsidR="00D836EC" w:rsidRPr="00D836EC" w:rsidRDefault="00D836EC" w:rsidP="00D836EC">
            <w:pPr>
              <w:pStyle w:val="TAL"/>
              <w:spacing w:line="256" w:lineRule="auto"/>
              <w:rPr>
                <w:sz w:val="16"/>
              </w:rPr>
            </w:pPr>
            <w:r w:rsidRPr="00D836EC">
              <w:rPr>
                <w:sz w:val="16"/>
                <w:lang w:eastAsia="ja-JP"/>
              </w:rPr>
              <w:t xml:space="preserve">1. When DL BWP has multiple RB sets, support using the available RB set bitmap in DCI 2_0 to validate the periodic </w:t>
            </w:r>
            <w:r w:rsidRPr="00254589">
              <w:rPr>
                <w:sz w:val="16"/>
                <w:highlight w:val="yellow"/>
                <w:lang w:eastAsia="ja-JP"/>
              </w:rPr>
              <w:t>CSI-RS transmission</w:t>
            </w:r>
            <w:r w:rsidRPr="00D836EC">
              <w:rPr>
                <w:sz w:val="16"/>
                <w:lang w:eastAsia="ja-JP"/>
              </w:rPr>
              <w:t xml:space="preserve"> if the CSI-RS is over multiple RB-sets</w:t>
            </w:r>
          </w:p>
        </w:tc>
        <w:tc>
          <w:tcPr>
            <w:tcW w:w="1984" w:type="dxa"/>
            <w:tcBorders>
              <w:top w:val="single" w:sz="4" w:space="0" w:color="auto"/>
              <w:left w:val="single" w:sz="4" w:space="0" w:color="auto"/>
              <w:bottom w:val="single" w:sz="4" w:space="0" w:color="auto"/>
              <w:right w:val="single" w:sz="4" w:space="0" w:color="auto"/>
            </w:tcBorders>
          </w:tcPr>
          <w:p w14:paraId="03601F9F" w14:textId="48B4FA7A"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 or 10-2</w:t>
            </w:r>
          </w:p>
        </w:tc>
      </w:tr>
    </w:tbl>
    <w:p w14:paraId="0E60980F" w14:textId="51587616" w:rsidR="00CD1445" w:rsidRPr="00CD1445" w:rsidRDefault="00CD1445" w:rsidP="00D836EC">
      <w:pPr>
        <w:overflowPunct w:val="0"/>
        <w:autoSpaceDE w:val="0"/>
        <w:autoSpaceDN w:val="0"/>
        <w:adjustRightInd w:val="0"/>
        <w:spacing w:before="240" w:after="240"/>
        <w:jc w:val="both"/>
        <w:textAlignment w:val="baseline"/>
        <w:rPr>
          <w:rFonts w:ascii="Times New Roman" w:eastAsiaTheme="minorEastAsia" w:hAnsi="Times New Roman"/>
          <w:szCs w:val="20"/>
          <w:lang w:val="en-GB"/>
        </w:rPr>
      </w:pPr>
      <w:bookmarkStart w:id="8" w:name="_Ref37341386"/>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273DEB">
        <w:rPr>
          <w:rFonts w:ascii="Times New Roman" w:hAnsi="Times New Roman"/>
          <w:b/>
          <w:noProof/>
        </w:rPr>
        <w:t>4</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Clarify the intention of 10-19a</w:t>
      </w:r>
      <w:r w:rsidRPr="00CD1445">
        <w:rPr>
          <w:rFonts w:ascii="Times New Roman" w:hAnsi="Times New Roman"/>
          <w:b/>
        </w:rPr>
        <w:t>.</w:t>
      </w:r>
      <w:bookmarkEnd w:id="8"/>
    </w:p>
    <w:p w14:paraId="2903A386" w14:textId="266BD055" w:rsidR="000A5B23" w:rsidRDefault="00C319BC" w:rsidP="00D61BB3">
      <w:pPr>
        <w:pStyle w:val="ae"/>
        <w:numPr>
          <w:ilvl w:val="0"/>
          <w:numId w:val="11"/>
        </w:numPr>
        <w:spacing w:before="120" w:after="120"/>
        <w:ind w:firstLineChars="0"/>
        <w:rPr>
          <w:rFonts w:ascii="Times New Roman" w:eastAsiaTheme="minorEastAsia" w:hAnsi="Times New Roman"/>
          <w:sz w:val="20"/>
          <w:szCs w:val="20"/>
          <w:lang w:val="en-GB"/>
        </w:rPr>
      </w:pPr>
      <w:r w:rsidRPr="00C319BC">
        <w:rPr>
          <w:rFonts w:ascii="Times New Roman" w:eastAsiaTheme="minorEastAsia" w:hAnsi="Times New Roman" w:hint="eastAsia"/>
          <w:sz w:val="20"/>
          <w:szCs w:val="20"/>
          <w:lang w:val="en-GB"/>
        </w:rPr>
        <w:t>O</w:t>
      </w:r>
      <w:r w:rsidRPr="00C319BC">
        <w:rPr>
          <w:rFonts w:ascii="Times New Roman" w:eastAsiaTheme="minorEastAsia" w:hAnsi="Times New Roman"/>
          <w:sz w:val="20"/>
          <w:szCs w:val="20"/>
          <w:lang w:val="en-GB"/>
        </w:rPr>
        <w:t xml:space="preserve">n </w:t>
      </w:r>
      <w:r w:rsidRPr="00C319BC">
        <w:rPr>
          <w:rFonts w:ascii="Times New Roman" w:eastAsiaTheme="minorEastAsia" w:hAnsi="Times New Roman"/>
          <w:b/>
          <w:sz w:val="20"/>
          <w:szCs w:val="20"/>
          <w:lang w:val="en-GB"/>
        </w:rPr>
        <w:t>10-25</w:t>
      </w:r>
      <w:r w:rsidR="00CD1445">
        <w:rPr>
          <w:rFonts w:ascii="Times New Roman" w:eastAsiaTheme="minorEastAsia" w:hAnsi="Times New Roman"/>
          <w:b/>
          <w:sz w:val="20"/>
          <w:szCs w:val="20"/>
          <w:lang w:val="en-GB"/>
        </w:rPr>
        <w:t xml:space="preserve"> </w:t>
      </w:r>
      <w:r w:rsidR="00CD1445" w:rsidRPr="00CD1445">
        <w:rPr>
          <w:rFonts w:ascii="Times New Roman" w:eastAsiaTheme="minorEastAsia" w:hAnsi="Times New Roman"/>
          <w:sz w:val="20"/>
          <w:szCs w:val="20"/>
          <w:lang w:val="en-GB"/>
        </w:rPr>
        <w:t>(</w:t>
      </w:r>
      <w:r w:rsidR="00CD1445" w:rsidRPr="00CD1445">
        <w:rPr>
          <w:rFonts w:ascii="Times New Roman" w:eastAsiaTheme="minorEastAsia" w:hAnsi="Times New Roman"/>
          <w:i/>
          <w:sz w:val="20"/>
          <w:szCs w:val="20"/>
          <w:lang w:val="en-GB"/>
        </w:rPr>
        <w:t>Enable configured UL transmission out of COT</w:t>
      </w:r>
      <w:r w:rsidR="00CD1445" w:rsidRPr="00CD1445">
        <w:rPr>
          <w:rFonts w:ascii="Times New Roman" w:eastAsiaTheme="minorEastAsia" w:hAnsi="Times New Roman"/>
          <w:sz w:val="20"/>
          <w:szCs w:val="20"/>
          <w:lang w:val="en-GB"/>
        </w:rPr>
        <w:t>)</w:t>
      </w:r>
      <w:r w:rsidRPr="00C319BC">
        <w:rPr>
          <w:rFonts w:ascii="Times New Roman" w:eastAsiaTheme="minorEastAsia" w:hAnsi="Times New Roman"/>
          <w:sz w:val="20"/>
          <w:szCs w:val="20"/>
          <w:lang w:val="en-GB"/>
        </w:rPr>
        <w:t>, to be more accurate, we suggest to change “DCI 2_0” to “SFI” since DCI 2_0 is not SFI only in NRU Rel-16.</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D836EC" w:rsidRPr="001E28EE" w14:paraId="28F9B206"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7786BAD7"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06BACCEF"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4754A5FF" w14:textId="77777777" w:rsidR="00D836EC" w:rsidRPr="009907C6" w:rsidRDefault="00D836EC" w:rsidP="008A727A">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1570F1D2"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D836EC" w:rsidRPr="00D836EC" w14:paraId="15806CE2"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0E2F5485" w14:textId="3E8CF971"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10-25</w:t>
            </w:r>
          </w:p>
        </w:tc>
        <w:tc>
          <w:tcPr>
            <w:tcW w:w="2268" w:type="dxa"/>
            <w:tcBorders>
              <w:top w:val="single" w:sz="4" w:space="0" w:color="auto"/>
              <w:left w:val="single" w:sz="4" w:space="0" w:color="auto"/>
              <w:bottom w:val="single" w:sz="4" w:space="0" w:color="auto"/>
              <w:right w:val="single" w:sz="4" w:space="0" w:color="auto"/>
            </w:tcBorders>
            <w:hideMark/>
          </w:tcPr>
          <w:p w14:paraId="48CA189B" w14:textId="5615DDF1" w:rsidR="00D836EC" w:rsidRPr="00D836EC" w:rsidRDefault="00D836EC" w:rsidP="00D836EC">
            <w:pPr>
              <w:keepNext/>
              <w:keepLines/>
              <w:spacing w:line="256" w:lineRule="auto"/>
              <w:rPr>
                <w:rFonts w:ascii="Arial" w:eastAsia="宋体" w:hAnsi="Arial"/>
                <w:sz w:val="16"/>
                <w:szCs w:val="20"/>
                <w:lang w:val="en-GB" w:eastAsia="zh-CN"/>
              </w:rPr>
            </w:pPr>
            <w:bookmarkStart w:id="9" w:name="_Hlk37339240"/>
            <w:r w:rsidRPr="00D836EC">
              <w:rPr>
                <w:sz w:val="16"/>
              </w:rPr>
              <w:t>Enable  configured UL transmission out of COT</w:t>
            </w:r>
            <w:bookmarkEnd w:id="9"/>
          </w:p>
        </w:tc>
        <w:tc>
          <w:tcPr>
            <w:tcW w:w="3686" w:type="dxa"/>
            <w:tcBorders>
              <w:top w:val="single" w:sz="4" w:space="0" w:color="auto"/>
              <w:left w:val="single" w:sz="4" w:space="0" w:color="auto"/>
              <w:bottom w:val="single" w:sz="4" w:space="0" w:color="auto"/>
              <w:right w:val="single" w:sz="4" w:space="0" w:color="auto"/>
            </w:tcBorders>
          </w:tcPr>
          <w:p w14:paraId="0C1EC52F" w14:textId="577E7665" w:rsidR="00D836EC" w:rsidRPr="00D836EC" w:rsidRDefault="00D836EC" w:rsidP="00D836EC">
            <w:pPr>
              <w:pStyle w:val="TAL"/>
              <w:spacing w:line="256" w:lineRule="auto"/>
              <w:rPr>
                <w:sz w:val="16"/>
              </w:rPr>
            </w:pPr>
            <w:r w:rsidRPr="00D836EC">
              <w:rPr>
                <w:sz w:val="16"/>
                <w:lang w:eastAsia="ja-JP"/>
              </w:rPr>
              <w:t>1. Support configuration of enableConfiguredUL-r16 and enable Cat 4</w:t>
            </w:r>
            <w:r w:rsidRPr="00D836EC">
              <w:rPr>
                <w:sz w:val="16"/>
              </w:rPr>
              <w:t xml:space="preserve"> LBT based transmission of RRC configured UL *SRS, PUCCH, CG-PUSCH etc) out of COT when </w:t>
            </w:r>
            <w:r w:rsidRPr="00D836EC">
              <w:rPr>
                <w:sz w:val="16"/>
                <w:highlight w:val="yellow"/>
              </w:rPr>
              <w:t>DCI 2_0</w:t>
            </w:r>
            <w:r>
              <w:rPr>
                <w:sz w:val="16"/>
              </w:rPr>
              <w:t xml:space="preserve"> </w:t>
            </w:r>
            <w:r w:rsidRPr="00D836EC">
              <w:rPr>
                <w:sz w:val="16"/>
              </w:rPr>
              <w:t>is configured but not detected</w:t>
            </w:r>
          </w:p>
        </w:tc>
        <w:tc>
          <w:tcPr>
            <w:tcW w:w="1984" w:type="dxa"/>
            <w:tcBorders>
              <w:top w:val="single" w:sz="4" w:space="0" w:color="auto"/>
              <w:left w:val="single" w:sz="4" w:space="0" w:color="auto"/>
              <w:bottom w:val="single" w:sz="4" w:space="0" w:color="auto"/>
              <w:right w:val="single" w:sz="4" w:space="0" w:color="auto"/>
            </w:tcBorders>
          </w:tcPr>
          <w:p w14:paraId="137F4B82" w14:textId="56034BC4"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w:t>
            </w:r>
          </w:p>
        </w:tc>
      </w:tr>
    </w:tbl>
    <w:p w14:paraId="645F9981" w14:textId="08B48145" w:rsidR="00886DA5" w:rsidRPr="00D836EC" w:rsidRDefault="00CD1445" w:rsidP="00D836EC">
      <w:pPr>
        <w:overflowPunct w:val="0"/>
        <w:autoSpaceDE w:val="0"/>
        <w:autoSpaceDN w:val="0"/>
        <w:adjustRightInd w:val="0"/>
        <w:spacing w:before="240" w:after="240"/>
        <w:jc w:val="both"/>
        <w:textAlignment w:val="baseline"/>
        <w:rPr>
          <w:rFonts w:ascii="Times New Roman" w:hAnsi="Times New Roman"/>
          <w:b/>
        </w:rPr>
      </w:pPr>
      <w:bookmarkStart w:id="10" w:name="_Ref37341387"/>
      <w:r w:rsidRPr="002B45DB">
        <w:rPr>
          <w:rFonts w:ascii="Times New Roman" w:hAnsi="Times New Roman"/>
          <w:b/>
        </w:rPr>
        <w:t xml:space="preserve">Proposal </w:t>
      </w:r>
      <w:r w:rsidRPr="002B45DB">
        <w:rPr>
          <w:rFonts w:ascii="Times New Roman" w:hAnsi="Times New Roman"/>
          <w:b/>
        </w:rPr>
        <w:fldChar w:fldCharType="begin"/>
      </w:r>
      <w:r w:rsidRPr="002B45DB">
        <w:rPr>
          <w:rFonts w:ascii="Times New Roman" w:hAnsi="Times New Roman"/>
          <w:b/>
        </w:rPr>
        <w:instrText xml:space="preserve"> SEQ Proposal \* ARABIC </w:instrText>
      </w:r>
      <w:r w:rsidRPr="002B45DB">
        <w:rPr>
          <w:rFonts w:ascii="Times New Roman" w:hAnsi="Times New Roman"/>
          <w:b/>
        </w:rPr>
        <w:fldChar w:fldCharType="separate"/>
      </w:r>
      <w:r w:rsidR="00273DEB">
        <w:rPr>
          <w:rFonts w:ascii="Times New Roman" w:hAnsi="Times New Roman"/>
          <w:b/>
          <w:noProof/>
        </w:rPr>
        <w:t>5</w:t>
      </w:r>
      <w:r w:rsidRPr="002B45DB">
        <w:rPr>
          <w:rFonts w:ascii="Times New Roman" w:hAnsi="Times New Roman"/>
          <w:b/>
        </w:rPr>
        <w:fldChar w:fldCharType="end"/>
      </w:r>
      <w:r w:rsidRPr="002B45DB">
        <w:rPr>
          <w:rFonts w:ascii="Times New Roman" w:hAnsi="Times New Roman"/>
          <w:b/>
        </w:rPr>
        <w:t>: Change “DCI 2_0” to “SFI”</w:t>
      </w:r>
      <w:r w:rsidR="00876542">
        <w:rPr>
          <w:rFonts w:ascii="Times New Roman" w:hAnsi="Times New Roman"/>
          <w:b/>
        </w:rPr>
        <w:t xml:space="preserve"> in the component of 10-25.</w:t>
      </w:r>
      <w:bookmarkEnd w:id="10"/>
      <w:r w:rsidR="00876542">
        <w:rPr>
          <w:rFonts w:ascii="Times New Roman" w:hAnsi="Times New Roman"/>
          <w:b/>
        </w:rPr>
        <w:t xml:space="preserve"> </w:t>
      </w:r>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355A3D80"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NRU UE feature discussion</w:t>
      </w:r>
      <w:r>
        <w:rPr>
          <w:rFonts w:ascii="Times New Roman" w:eastAsia="宋体" w:hAnsi="Times New Roman"/>
          <w:lang w:eastAsia="zh-CN"/>
        </w:rPr>
        <w:t>, and have the following proposals:</w:t>
      </w:r>
    </w:p>
    <w:p w14:paraId="2BD4CEC2" w14:textId="1F8C318D"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_Ref21019640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73DEB" w:rsidRPr="000F4BB5">
        <w:rPr>
          <w:rFonts w:ascii="Times New Roman" w:hAnsi="Times New Roman"/>
          <w:b/>
        </w:rPr>
        <w:t xml:space="preserve">Proposal </w:t>
      </w:r>
      <w:r w:rsidR="00273DEB">
        <w:rPr>
          <w:rFonts w:ascii="Times New Roman" w:hAnsi="Times New Roman"/>
          <w:b/>
          <w:noProof/>
        </w:rPr>
        <w:t>1</w:t>
      </w:r>
      <w:r w:rsidR="00273DEB" w:rsidRPr="00503F05">
        <w:rPr>
          <w:rFonts w:ascii="Times New Roman" w:hAnsi="Times New Roman"/>
          <w:b/>
        </w:rPr>
        <w:t>:</w:t>
      </w:r>
      <w:r w:rsidR="00273DEB">
        <w:rPr>
          <w:rFonts w:ascii="Times New Roman" w:hAnsi="Times New Roman"/>
          <w:b/>
        </w:rPr>
        <w:t xml:space="preserve"> </w:t>
      </w:r>
      <w:r w:rsidR="00273DEB" w:rsidRPr="00984B38">
        <w:rPr>
          <w:rFonts w:ascii="Times New Roman" w:hAnsi="Times New Roman"/>
          <w:b/>
        </w:rPr>
        <w:t>SS group switching related features (10-9, 10-9</w:t>
      </w:r>
      <w:r w:rsidR="00273DEB">
        <w:rPr>
          <w:rFonts w:ascii="Times New Roman" w:hAnsi="Times New Roman"/>
          <w:b/>
        </w:rPr>
        <w:t>b</w:t>
      </w:r>
      <w:r w:rsidR="00273DEB" w:rsidRPr="00984B38">
        <w:rPr>
          <w:rFonts w:ascii="Times New Roman" w:hAnsi="Times New Roman"/>
          <w:b/>
        </w:rPr>
        <w:t>, 10-9</w:t>
      </w:r>
      <w:r w:rsidR="00273DEB">
        <w:rPr>
          <w:rFonts w:ascii="Times New Roman" w:hAnsi="Times New Roman"/>
          <w:b/>
        </w:rPr>
        <w:t>c, 10-9d</w:t>
      </w:r>
      <w:r w:rsidR="00273DEB" w:rsidRPr="00984B38">
        <w:rPr>
          <w:rFonts w:ascii="Times New Roman" w:hAnsi="Times New Roman"/>
          <w:b/>
        </w:rPr>
        <w:t xml:space="preserve">) </w:t>
      </w:r>
      <w:r w:rsidR="00273DEB">
        <w:rPr>
          <w:rFonts w:ascii="Times New Roman" w:hAnsi="Times New Roman"/>
          <w:b/>
        </w:rPr>
        <w:t xml:space="preserve">and </w:t>
      </w:r>
      <w:r w:rsidR="00273DEB" w:rsidRPr="002E0C90">
        <w:rPr>
          <w:rFonts w:ascii="Times New Roman" w:hAnsi="Times New Roman"/>
          <w:b/>
        </w:rPr>
        <w:t xml:space="preserve">SRS starting position at any OFDM symbol in a slot (10-11) </w:t>
      </w:r>
      <w:r w:rsidR="00273DEB" w:rsidRPr="00984B38">
        <w:rPr>
          <w:rFonts w:ascii="Times New Roman" w:hAnsi="Times New Roman"/>
          <w:b/>
        </w:rPr>
        <w:t>could be extended to licensed use</w:t>
      </w:r>
      <w:r w:rsidR="00273DEB">
        <w:rPr>
          <w:rFonts w:ascii="Times New Roman" w:hAnsi="Times New Roman"/>
          <w:b/>
        </w:rPr>
        <w:t xml:space="preserve"> and adopt “Per UE” type</w:t>
      </w:r>
      <w:r w:rsidR="00273DEB" w:rsidRPr="00984B38">
        <w:rPr>
          <w:rFonts w:ascii="Times New Roman" w:hAnsi="Times New Roman"/>
          <w:b/>
        </w:rPr>
        <w:t>.</w:t>
      </w:r>
      <w:r>
        <w:rPr>
          <w:rFonts w:ascii="Times New Roman" w:eastAsia="宋体" w:hAnsi="Times New Roman"/>
          <w:lang w:eastAsia="zh-CN"/>
        </w:rPr>
        <w:fldChar w:fldCharType="end"/>
      </w:r>
    </w:p>
    <w:p w14:paraId="6A6AB063" w14:textId="0EB5F825"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_Ref37341381 \h </w:instrText>
      </w:r>
      <w:r>
        <w:rPr>
          <w:rFonts w:ascii="Times New Roman" w:eastAsia="宋体" w:hAnsi="Times New Roman"/>
          <w:lang w:eastAsia="zh-CN"/>
        </w:rPr>
      </w:r>
      <w:r>
        <w:rPr>
          <w:rFonts w:ascii="Times New Roman" w:eastAsia="宋体" w:hAnsi="Times New Roman"/>
          <w:lang w:eastAsia="zh-CN"/>
        </w:rPr>
        <w:fldChar w:fldCharType="separate"/>
      </w:r>
      <w:r w:rsidR="00273DEB" w:rsidRPr="0014227D">
        <w:rPr>
          <w:rFonts w:ascii="Times New Roman" w:hAnsi="Times New Roman" w:hint="eastAsia"/>
          <w:b/>
        </w:rPr>
        <w:t>P</w:t>
      </w:r>
      <w:r w:rsidR="00273DEB" w:rsidRPr="0014227D">
        <w:rPr>
          <w:rFonts w:ascii="Times New Roman" w:hAnsi="Times New Roman"/>
          <w:b/>
        </w:rPr>
        <w:t xml:space="preserve">roposal </w:t>
      </w:r>
      <w:r w:rsidR="00273DEB">
        <w:rPr>
          <w:rFonts w:ascii="Times New Roman" w:hAnsi="Times New Roman"/>
          <w:b/>
          <w:noProof/>
        </w:rPr>
        <w:t>2</w:t>
      </w:r>
      <w:r w:rsidR="00273DEB" w:rsidRPr="0014227D">
        <w:rPr>
          <w:rFonts w:ascii="Times New Roman" w:hAnsi="Times New Roman"/>
          <w:b/>
        </w:rPr>
        <w:t xml:space="preserve">: </w:t>
      </w:r>
      <w:r w:rsidR="00273DEB">
        <w:rPr>
          <w:rFonts w:ascii="Times New Roman" w:hAnsi="Times New Roman"/>
          <w:b/>
        </w:rPr>
        <w:t>For UE features that are not agreed to be extended to licensed use, update “per band” to “per unlicensed band”.</w:t>
      </w:r>
      <w:r>
        <w:rPr>
          <w:rFonts w:ascii="Times New Roman" w:eastAsia="宋体" w:hAnsi="Times New Roman"/>
          <w:lang w:eastAsia="zh-CN"/>
        </w:rPr>
        <w:fldChar w:fldCharType="end"/>
      </w:r>
    </w:p>
    <w:p w14:paraId="38042D28" w14:textId="17515740"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_Ref37341383 \h </w:instrText>
      </w:r>
      <w:r>
        <w:rPr>
          <w:rFonts w:ascii="Times New Roman" w:eastAsia="宋体" w:hAnsi="Times New Roman"/>
          <w:lang w:eastAsia="zh-CN"/>
        </w:rPr>
      </w:r>
      <w:r>
        <w:rPr>
          <w:rFonts w:ascii="Times New Roman" w:eastAsia="宋体" w:hAnsi="Times New Roman"/>
          <w:lang w:eastAsia="zh-CN"/>
        </w:rPr>
        <w:fldChar w:fldCharType="separate"/>
      </w:r>
      <w:r w:rsidR="00273DEB" w:rsidRPr="002D26CA">
        <w:rPr>
          <w:rFonts w:ascii="Times New Roman" w:hAnsi="Times New Roman"/>
          <w:b/>
        </w:rPr>
        <w:t xml:space="preserve">Proposal </w:t>
      </w:r>
      <w:r w:rsidR="00273DEB">
        <w:rPr>
          <w:rFonts w:ascii="Times New Roman" w:hAnsi="Times New Roman"/>
          <w:b/>
          <w:noProof/>
        </w:rPr>
        <w:t>3</w:t>
      </w:r>
      <w:r w:rsidR="00273DEB" w:rsidRPr="002D26CA">
        <w:rPr>
          <w:rFonts w:ascii="Times New Roman" w:hAnsi="Times New Roman"/>
          <w:b/>
        </w:rPr>
        <w:t xml:space="preserve">: </w:t>
      </w:r>
      <w:r w:rsidR="00273DEB" w:rsidRPr="002D26CA">
        <w:rPr>
          <w:rFonts w:ascii="Times New Roman" w:eastAsiaTheme="minorEastAsia" w:hAnsi="Times New Roman"/>
          <w:b/>
          <w:lang w:eastAsia="zh-CN"/>
        </w:rPr>
        <w:t xml:space="preserve">Clarifying that the FG is a part of basic operation for a particular scenario in </w:t>
      </w:r>
      <w:r w:rsidR="00273DEB" w:rsidRPr="002D26CA">
        <w:rPr>
          <w:rFonts w:ascii="Times New Roman" w:eastAsia="等线" w:hAnsi="Times New Roman"/>
          <w:b/>
        </w:rPr>
        <w:t>“mandatory/optional” c</w:t>
      </w:r>
      <w:bookmarkStart w:id="11" w:name="_GoBack"/>
      <w:bookmarkEnd w:id="11"/>
      <w:r w:rsidR="00273DEB" w:rsidRPr="002D26CA">
        <w:rPr>
          <w:rFonts w:ascii="Times New Roman" w:eastAsia="等线" w:hAnsi="Times New Roman"/>
          <w:b/>
        </w:rPr>
        <w:t>olumn</w:t>
      </w:r>
      <w:r w:rsidR="00273DEB" w:rsidRPr="002D26CA">
        <w:rPr>
          <w:rFonts w:ascii="Times New Roman" w:eastAsiaTheme="minorEastAsia" w:hAnsi="Times New Roman"/>
          <w:b/>
          <w:lang w:eastAsia="zh-CN"/>
        </w:rPr>
        <w:t xml:space="preserve"> of UE feature list is enough to establish the association between the FGs to a certain NR-U scenario</w:t>
      </w:r>
      <w:r w:rsidR="00273DEB" w:rsidRPr="002D26CA">
        <w:rPr>
          <w:rFonts w:ascii="Times New Roman" w:hAnsi="Times New Roman"/>
          <w:b/>
        </w:rPr>
        <w:t>.</w:t>
      </w:r>
      <w:r>
        <w:rPr>
          <w:rFonts w:ascii="Times New Roman" w:eastAsia="宋体" w:hAnsi="Times New Roman"/>
          <w:lang w:eastAsia="zh-CN"/>
        </w:rPr>
        <w:fldChar w:fldCharType="end"/>
      </w:r>
    </w:p>
    <w:p w14:paraId="73D65BD1" w14:textId="41F7CDCA"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_Ref37341386 \h </w:instrText>
      </w:r>
      <w:r>
        <w:rPr>
          <w:rFonts w:ascii="Times New Roman" w:eastAsia="宋体" w:hAnsi="Times New Roman"/>
          <w:lang w:eastAsia="zh-CN"/>
        </w:rPr>
      </w:r>
      <w:r>
        <w:rPr>
          <w:rFonts w:ascii="Times New Roman" w:eastAsia="宋体" w:hAnsi="Times New Roman"/>
          <w:lang w:eastAsia="zh-CN"/>
        </w:rPr>
        <w:fldChar w:fldCharType="separate"/>
      </w:r>
      <w:r w:rsidR="00273DEB" w:rsidRPr="000F4BB5">
        <w:rPr>
          <w:rFonts w:ascii="Times New Roman" w:hAnsi="Times New Roman"/>
          <w:b/>
        </w:rPr>
        <w:t xml:space="preserve">Proposal </w:t>
      </w:r>
      <w:r w:rsidR="00273DEB">
        <w:rPr>
          <w:rFonts w:ascii="Times New Roman" w:hAnsi="Times New Roman"/>
          <w:b/>
          <w:noProof/>
        </w:rPr>
        <w:t>4</w:t>
      </w:r>
      <w:r w:rsidR="00273DEB" w:rsidRPr="00503F05">
        <w:rPr>
          <w:rFonts w:ascii="Times New Roman" w:hAnsi="Times New Roman"/>
          <w:b/>
        </w:rPr>
        <w:t>:</w:t>
      </w:r>
      <w:r w:rsidR="00273DEB">
        <w:rPr>
          <w:rFonts w:ascii="Times New Roman" w:hAnsi="Times New Roman"/>
          <w:b/>
        </w:rPr>
        <w:t xml:space="preserve"> Clarify the intention of 10-19a</w:t>
      </w:r>
      <w:r w:rsidR="00273DEB" w:rsidRPr="00CD1445">
        <w:rPr>
          <w:rFonts w:ascii="Times New Roman" w:hAnsi="Times New Roman"/>
          <w:b/>
        </w:rPr>
        <w:t>.</w:t>
      </w:r>
      <w:r>
        <w:rPr>
          <w:rFonts w:ascii="Times New Roman" w:eastAsia="宋体" w:hAnsi="Times New Roman"/>
          <w:lang w:eastAsia="zh-CN"/>
        </w:rPr>
        <w:fldChar w:fldCharType="end"/>
      </w:r>
    </w:p>
    <w:p w14:paraId="265E518D" w14:textId="1E9283E2"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_Ref37341387 \h </w:instrText>
      </w:r>
      <w:r>
        <w:rPr>
          <w:rFonts w:ascii="Times New Roman" w:eastAsia="宋体" w:hAnsi="Times New Roman"/>
          <w:lang w:eastAsia="zh-CN"/>
        </w:rPr>
      </w:r>
      <w:r>
        <w:rPr>
          <w:rFonts w:ascii="Times New Roman" w:eastAsia="宋体" w:hAnsi="Times New Roman"/>
          <w:lang w:eastAsia="zh-CN"/>
        </w:rPr>
        <w:fldChar w:fldCharType="separate"/>
      </w:r>
      <w:r w:rsidR="00273DEB" w:rsidRPr="002B45DB">
        <w:rPr>
          <w:rFonts w:ascii="Times New Roman" w:hAnsi="Times New Roman"/>
          <w:b/>
        </w:rPr>
        <w:t xml:space="preserve">Proposal </w:t>
      </w:r>
      <w:r w:rsidR="00273DEB">
        <w:rPr>
          <w:rFonts w:ascii="Times New Roman" w:hAnsi="Times New Roman"/>
          <w:b/>
          <w:noProof/>
        </w:rPr>
        <w:t>5</w:t>
      </w:r>
      <w:r w:rsidR="00273DEB" w:rsidRPr="002B45DB">
        <w:rPr>
          <w:rFonts w:ascii="Times New Roman" w:hAnsi="Times New Roman"/>
          <w:b/>
        </w:rPr>
        <w:t>: Change “DCI 2_0” to “SFI”</w:t>
      </w:r>
      <w:r w:rsidR="00273DEB">
        <w:rPr>
          <w:rFonts w:ascii="Times New Roman" w:hAnsi="Times New Roman"/>
          <w:b/>
        </w:rPr>
        <w:t xml:space="preserve"> in the component of 10-25.</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768B771" w14:textId="36D2CAE6" w:rsidR="00CB14F1" w:rsidRDefault="005A6F2D" w:rsidP="00D61BB3">
      <w:pPr>
        <w:pStyle w:val="a0"/>
        <w:numPr>
          <w:ilvl w:val="0"/>
          <w:numId w:val="10"/>
        </w:numPr>
        <w:rPr>
          <w:rFonts w:ascii="Times New Roman" w:eastAsia="宋体" w:hAnsi="Times New Roman"/>
          <w:lang w:eastAsia="zh-CN"/>
        </w:rPr>
      </w:pPr>
      <w:bookmarkStart w:id="12" w:name="_Ref37321079"/>
      <w:r>
        <w:rPr>
          <w:rFonts w:ascii="Times New Roman" w:eastAsia="宋体" w:hAnsi="Times New Roman"/>
          <w:lang w:eastAsia="zh-CN"/>
        </w:rPr>
        <w:t>R1-200</w:t>
      </w:r>
      <w:r w:rsidR="00B62F49">
        <w:rPr>
          <w:rFonts w:ascii="Times New Roman" w:eastAsia="宋体" w:hAnsi="Times New Roman"/>
          <w:lang w:eastAsia="zh-CN"/>
        </w:rPr>
        <w:t>3198</w:t>
      </w:r>
      <w:r>
        <w:rPr>
          <w:rFonts w:ascii="Times New Roman" w:eastAsia="宋体" w:hAnsi="Times New Roman"/>
          <w:lang w:eastAsia="zh-CN"/>
        </w:rPr>
        <w:t xml:space="preserve">, </w:t>
      </w:r>
      <w:r w:rsidR="00B62F49" w:rsidRPr="00B62F49">
        <w:rPr>
          <w:rFonts w:ascii="Times New Roman" w:eastAsia="宋体" w:hAnsi="Times New Roman"/>
          <w:lang w:eastAsia="zh-CN"/>
        </w:rPr>
        <w:t>Summary on email discussion [100b-e-NR-UEFeatures-Remaining] NR-unlicensed</w:t>
      </w:r>
      <w:r>
        <w:rPr>
          <w:rFonts w:ascii="Times New Roman" w:eastAsia="宋体" w:hAnsi="Times New Roman"/>
          <w:lang w:eastAsia="zh-CN"/>
        </w:rPr>
        <w:t xml:space="preserve">, </w:t>
      </w:r>
      <w:r w:rsidR="00FC3CE4">
        <w:rPr>
          <w:rFonts w:ascii="Times New Roman" w:eastAsia="宋体" w:hAnsi="Times New Roman"/>
          <w:lang w:eastAsia="zh-CN"/>
        </w:rPr>
        <w:t>RAN1 #100</w:t>
      </w:r>
      <w:r w:rsidR="00B62F49">
        <w:rPr>
          <w:rFonts w:ascii="Times New Roman" w:eastAsia="宋体" w:hAnsi="Times New Roman"/>
          <w:lang w:eastAsia="zh-CN"/>
        </w:rPr>
        <w:t>bis</w:t>
      </w:r>
      <w:r w:rsidR="00FC3CE4">
        <w:rPr>
          <w:rFonts w:ascii="Times New Roman" w:eastAsia="宋体" w:hAnsi="Times New Roman"/>
          <w:lang w:eastAsia="zh-CN"/>
        </w:rPr>
        <w:t xml:space="preserve">-e, </w:t>
      </w:r>
      <w:r w:rsidR="00B62F49" w:rsidRPr="00B62F49">
        <w:rPr>
          <w:rFonts w:ascii="Times New Roman" w:eastAsia="宋体" w:hAnsi="Times New Roman"/>
          <w:lang w:eastAsia="zh-CN"/>
        </w:rPr>
        <w:t>20th – 30th April</w:t>
      </w:r>
      <w:r w:rsidR="00FC3CE4" w:rsidRPr="00FC3CE4">
        <w:rPr>
          <w:rFonts w:ascii="Times New Roman" w:eastAsia="宋体" w:hAnsi="Times New Roman"/>
          <w:lang w:eastAsia="zh-CN"/>
        </w:rPr>
        <w:t>, 2020</w:t>
      </w:r>
      <w:r w:rsidR="00FC3CE4">
        <w:rPr>
          <w:rFonts w:ascii="Times New Roman" w:eastAsia="宋体" w:hAnsi="Times New Roman"/>
          <w:lang w:eastAsia="zh-CN"/>
        </w:rPr>
        <w:t>.</w:t>
      </w:r>
      <w:bookmarkEnd w:id="12"/>
    </w:p>
    <w:sectPr w:rsidR="00CB14F1"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86D42" w14:textId="77777777" w:rsidR="005B5457" w:rsidRDefault="005B5457">
      <w:r>
        <w:separator/>
      </w:r>
    </w:p>
  </w:endnote>
  <w:endnote w:type="continuationSeparator" w:id="0">
    <w:p w14:paraId="75D66CFA" w14:textId="77777777" w:rsidR="005B5457" w:rsidRDefault="005B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2B798" w14:textId="77777777" w:rsidR="005B5457" w:rsidRDefault="005B5457">
      <w:r>
        <w:separator/>
      </w:r>
    </w:p>
  </w:footnote>
  <w:footnote w:type="continuationSeparator" w:id="0">
    <w:p w14:paraId="453DDECD" w14:textId="77777777" w:rsidR="005B5457" w:rsidRDefault="005B5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4"/>
  </w:num>
  <w:num w:numId="3">
    <w:abstractNumId w:val="7"/>
  </w:num>
  <w:num w:numId="4">
    <w:abstractNumId w:val="2"/>
  </w:num>
  <w:num w:numId="5">
    <w:abstractNumId w:val="3"/>
  </w:num>
  <w:num w:numId="6">
    <w:abstractNumId w:val="6"/>
  </w:num>
  <w:num w:numId="7">
    <w:abstractNumId w:val="0"/>
  </w:num>
  <w:num w:numId="8">
    <w:abstractNumId w:val="1"/>
  </w:num>
  <w:num w:numId="9">
    <w:abstractNumId w:val="12"/>
  </w:num>
  <w:num w:numId="10">
    <w:abstractNumId w:val="9"/>
  </w:num>
  <w:num w:numId="11">
    <w:abstractNumId w:val="10"/>
  </w:num>
  <w:num w:numId="12">
    <w:abstractNumId w:val="5"/>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3FB6C-81DA-4580-B117-68472D75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951</Words>
  <Characters>5422</Characters>
  <Application>Microsoft Office Word</Application>
  <DocSecurity>0</DocSecurity>
  <Lines>45</Lines>
  <Paragraphs>12</Paragraphs>
  <ScaleCrop>false</ScaleCrop>
  <Company>Vivo</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2</cp:revision>
  <cp:lastPrinted>2011-08-03T09:36:00Z</cp:lastPrinted>
  <dcterms:created xsi:type="dcterms:W3CDTF">2020-05-15T11:22:00Z</dcterms:created>
  <dcterms:modified xsi:type="dcterms:W3CDTF">2020-05-15T11:22:00Z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